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631220" w:rsidRDefault="00082F4F" w:rsidP="00631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220">
              <w:rPr>
                <w:rFonts w:ascii="Arial" w:hAnsi="Arial" w:cs="Arial"/>
                <w:sz w:val="20"/>
                <w:szCs w:val="20"/>
              </w:rPr>
              <w:t>Michelmersh</w:t>
            </w:r>
            <w:proofErr w:type="spellEnd"/>
            <w:r w:rsidRPr="00631220">
              <w:rPr>
                <w:rFonts w:ascii="Arial" w:hAnsi="Arial" w:cs="Arial"/>
                <w:sz w:val="20"/>
                <w:szCs w:val="20"/>
              </w:rPr>
              <w:t xml:space="preserve"> Brick Holdings PLC</w:t>
            </w:r>
          </w:p>
        </w:tc>
      </w:tr>
      <w:tr w:rsidR="00E50B76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B4E53" w:rsidRDefault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082F4F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 xml:space="preserve">An acquisition or disposal of </w:t>
            </w:r>
            <w:r w:rsidR="005E13C7" w:rsidRPr="000B4E53">
              <w:rPr>
                <w:rFonts w:ascii="Arial" w:hAnsi="Arial" w:cs="Arial"/>
              </w:rPr>
              <w:t xml:space="preserve">qualifying </w:t>
            </w:r>
            <w:r w:rsidRPr="000B4E53">
              <w:rPr>
                <w:rFonts w:ascii="Arial" w:hAnsi="Arial" w:cs="Arial"/>
              </w:rPr>
              <w:t>financial instruments which may result in the</w:t>
            </w:r>
            <w:r w:rsidR="00CE271A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acquisition of shares already issue</w:t>
            </w:r>
            <w:r w:rsidR="001E403F" w:rsidRPr="000B4E53">
              <w:rPr>
                <w:rFonts w:ascii="Arial" w:hAnsi="Arial" w:cs="Arial"/>
              </w:rPr>
              <w:t>d</w:t>
            </w:r>
            <w:r w:rsidRPr="000B4E53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631220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Co Ltd</w:t>
            </w:r>
            <w:r w:rsidR="00E73745">
              <w:rPr>
                <w:rFonts w:ascii="Arial" w:hAnsi="Arial" w:cs="Arial"/>
                <w:sz w:val="20"/>
                <w:szCs w:val="20"/>
              </w:rPr>
              <w:t xml:space="preserve"> (acting as Investment Manager for discretionary client portfolios)</w:t>
            </w:r>
          </w:p>
        </w:tc>
      </w:tr>
      <w:tr w:rsidR="00E50B76" w:rsidTr="000B4E53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5E13C7"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</w:t>
            </w:r>
            <w:r w:rsidR="005E13C7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from 3.):</w:t>
            </w:r>
            <w:r w:rsidR="001542D4"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E50B76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082F4F" w:rsidP="00D6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313D">
              <w:rPr>
                <w:rFonts w:ascii="Arial" w:hAnsi="Arial" w:cs="Arial"/>
                <w:sz w:val="20"/>
                <w:szCs w:val="20"/>
              </w:rPr>
              <w:t>3r</w:t>
            </w:r>
            <w:r w:rsidR="00EB1A3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2015</w:t>
            </w:r>
          </w:p>
        </w:tc>
      </w:tr>
      <w:tr w:rsidR="00E50B76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6. </w:t>
            </w:r>
            <w:r w:rsidR="003E3EBE" w:rsidRPr="000B4E53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B1A30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26th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January 2015</w:t>
            </w:r>
          </w:p>
        </w:tc>
      </w:tr>
      <w:tr w:rsidR="003E3EBE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E3EBE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D6313D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82F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02001" w:rsidRDefault="00002001">
      <w:r>
        <w:br w:type="page"/>
      </w:r>
      <w:bookmarkStart w:id="0" w:name="_GoBack"/>
      <w:bookmarkEnd w:id="0"/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 w:rsidTr="000B4E53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B4E53" w:rsidRDefault="00D17A33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 w:rsidTr="000B4E53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B4E53" w:rsidRDefault="003E3EBE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="001542D4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B4E53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B4E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 w:rsidTr="000B4E53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0B4E53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D8F" w:rsidRDefault="00535D8F" w:rsidP="00937739">
            <w:pPr>
              <w:rPr>
                <w:rFonts w:ascii="Arial" w:hAnsi="Arial" w:cs="Arial"/>
              </w:rPr>
            </w:pPr>
          </w:p>
          <w:p w:rsidR="00191277" w:rsidRPr="000B4E53" w:rsidRDefault="00535D8F" w:rsidP="0093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GB00B013H060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EB1A30" w:rsidRDefault="00D6313D" w:rsidP="00AF2EBC">
            <w:pPr>
              <w:rPr>
                <w:rFonts w:ascii="Arial" w:hAnsi="Arial" w:cs="Arial"/>
                <w:sz w:val="22"/>
                <w:szCs w:val="22"/>
              </w:rPr>
            </w:pPr>
            <w:r w:rsidRPr="00FE7BF0">
              <w:rPr>
                <w:rFonts w:ascii="Arial" w:hAnsi="Arial" w:cs="Arial"/>
                <w:sz w:val="22"/>
                <w:szCs w:val="22"/>
              </w:rPr>
              <w:t>5,106,088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FE7BF0" w:rsidRDefault="00D6313D" w:rsidP="00AF2EBC">
            <w:pPr>
              <w:rPr>
                <w:rFonts w:ascii="Arial" w:hAnsi="Arial" w:cs="Arial"/>
                <w:sz w:val="22"/>
                <w:szCs w:val="22"/>
              </w:rPr>
            </w:pPr>
            <w:r w:rsidRPr="00FE7BF0">
              <w:rPr>
                <w:rFonts w:ascii="Arial" w:hAnsi="Arial" w:cs="Arial"/>
                <w:sz w:val="22"/>
                <w:szCs w:val="22"/>
              </w:rPr>
              <w:t>4,957,813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FE7BF0" w:rsidRDefault="00D6313D" w:rsidP="00937739">
            <w:pPr>
              <w:rPr>
                <w:rFonts w:ascii="Arial" w:hAnsi="Arial" w:cs="Arial"/>
                <w:sz w:val="22"/>
                <w:szCs w:val="22"/>
              </w:rPr>
            </w:pPr>
            <w:r w:rsidRPr="00D6313D">
              <w:rPr>
                <w:rFonts w:ascii="Arial" w:hAnsi="Arial" w:cs="Arial"/>
                <w:sz w:val="22"/>
                <w:szCs w:val="22"/>
              </w:rPr>
              <w:t>8,066,088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91277" w:rsidRPr="00FE7BF0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1277" w:rsidRPr="00FE7BF0" w:rsidRDefault="00D6313D" w:rsidP="00937739">
            <w:pPr>
              <w:rPr>
                <w:rFonts w:ascii="Arial" w:hAnsi="Arial" w:cs="Arial"/>
              </w:rPr>
            </w:pPr>
            <w:r w:rsidRPr="00D6313D">
              <w:rPr>
                <w:rFonts w:ascii="Arial" w:hAnsi="Arial" w:cs="Arial"/>
                <w:sz w:val="22"/>
                <w:szCs w:val="22"/>
              </w:rPr>
              <w:t>7,831,813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FE7BF0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FE7BF0" w:rsidRDefault="00D6313D" w:rsidP="0093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9.64</w:t>
            </w:r>
            <w:r w:rsidR="00FE7BF0" w:rsidRPr="00FE7BF0">
              <w:rPr>
                <w:rFonts w:ascii="Arial" w:hAnsi="Arial" w:cs="Arial"/>
              </w:rPr>
              <w:t>%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B4E53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B4E53" w:rsidRDefault="00191277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B: </w:t>
            </w:r>
            <w:r w:rsidR="005E13C7" w:rsidRPr="000B4E53">
              <w:rPr>
                <w:rFonts w:ascii="Arial" w:hAnsi="Arial" w:cs="Arial"/>
                <w:b/>
              </w:rPr>
              <w:t xml:space="preserve">Qualifying </w:t>
            </w:r>
            <w:r w:rsidRPr="000B4E53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B4E53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</w:t>
            </w:r>
            <w:r w:rsidR="001100FB" w:rsidRPr="000B4E53">
              <w:rPr>
                <w:rFonts w:ascii="Arial" w:hAnsi="Arial" w:cs="Arial"/>
                <w:b/>
              </w:rPr>
              <w:t xml:space="preserve">Financial </w:t>
            </w:r>
            <w:r w:rsidRPr="000B4E53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B4E53">
              <w:rPr>
                <w:rFonts w:ascii="Arial" w:hAnsi="Arial" w:cs="Arial"/>
                <w:b/>
              </w:rPr>
              <w:t xml:space="preserve"> Financial</w:t>
            </w:r>
            <w:r w:rsidRPr="000B4E53">
              <w:rPr>
                <w:rFonts w:ascii="Arial" w:hAnsi="Arial" w:cs="Arial"/>
                <w:b/>
              </w:rPr>
              <w:t xml:space="preserve"> Instruments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0B4E53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B4E53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</w:t>
            </w:r>
            <w:r w:rsidR="00345EFE" w:rsidRPr="000B4E53">
              <w:rPr>
                <w:rFonts w:ascii="Arial" w:hAnsi="Arial" w:cs="Arial"/>
                <w:b/>
              </w:rPr>
              <w:t>+C</w:t>
            </w:r>
            <w:r w:rsidRPr="000B4E53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0B4E53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0B4E5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D6313D" w:rsidP="00AF2EBC">
            <w:pPr>
              <w:jc w:val="center"/>
              <w:rPr>
                <w:rFonts w:ascii="Arial" w:hAnsi="Arial" w:cs="Arial"/>
              </w:rPr>
            </w:pPr>
            <w:r w:rsidRPr="00D6313D">
              <w:rPr>
                <w:rFonts w:ascii="Arial" w:hAnsi="Arial" w:cs="Arial"/>
              </w:rPr>
              <w:t>7,831,813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D6313D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9.64</w:t>
            </w:r>
            <w:r w:rsidR="00FE7BF0" w:rsidRPr="00FE7BF0">
              <w:rPr>
                <w:rFonts w:ascii="Arial" w:hAnsi="Arial" w:cs="Arial"/>
              </w:rPr>
              <w:t>%</w:t>
            </w:r>
          </w:p>
        </w:tc>
      </w:tr>
    </w:tbl>
    <w:p w:rsidR="00C553C9" w:rsidRDefault="00C553C9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 w:rsidTr="000B4E53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 w:rsidTr="000B4E53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B4E53" w:rsidRDefault="00345EFE">
            <w:pPr>
              <w:rPr>
                <w:rFonts w:ascii="Arial" w:hAnsi="Arial" w:cs="Arial"/>
              </w:rPr>
            </w:pPr>
            <w:bookmarkStart w:id="1" w:name="Text46"/>
          </w:p>
          <w:bookmarkEnd w:id="1"/>
          <w:p w:rsidR="00345EFE" w:rsidRPr="000B4E53" w:rsidRDefault="00345EFE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 w:rsidTr="000B4E53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B8281D" w:rsidRPr="00002001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B4E53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B4E53" w:rsidRDefault="00B8281D" w:rsidP="000B4E53">
            <w:pPr>
              <w:jc w:val="right"/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br/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Mullen</w:t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+353 1 613 0020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002001" w:rsidTr="000B4E53">
        <w:trPr>
          <w:trHeight w:val="7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02001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Note:</w:t>
            </w:r>
            <w:r w:rsidR="006907F3" w:rsidRPr="000B4E53">
              <w:rPr>
                <w:rFonts w:ascii="Arial" w:hAnsi="Arial" w:cs="Arial"/>
                <w:b/>
              </w:rPr>
              <w:t xml:space="preserve"> Annex should only be submitted to the F</w:t>
            </w:r>
            <w:r w:rsidR="00920048" w:rsidRPr="000B4E53">
              <w:rPr>
                <w:rFonts w:ascii="Arial" w:hAnsi="Arial" w:cs="Arial"/>
                <w:b/>
              </w:rPr>
              <w:t>C</w:t>
            </w:r>
            <w:r w:rsidR="006907F3" w:rsidRPr="000B4E53">
              <w:rPr>
                <w:rFonts w:ascii="Arial" w:hAnsi="Arial" w:cs="Arial"/>
                <w:b/>
              </w:rPr>
              <w:t>A not the issuer</w:t>
            </w:r>
          </w:p>
        </w:tc>
      </w:tr>
      <w:tr w:rsidR="00D371EB" w:rsidRPr="000B4E53" w:rsidTr="000B4E53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371EB" w:rsidRPr="000B4E53" w:rsidRDefault="00D371EB" w:rsidP="00D371E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Annex: Notification of major interests in </w:t>
            </w:r>
            <w:proofErr w:type="spellStart"/>
            <w:r w:rsidRPr="000B4E53">
              <w:rPr>
                <w:rFonts w:ascii="Arial" w:hAnsi="Arial" w:cs="Arial"/>
                <w:b/>
              </w:rPr>
              <w:t>share</w:t>
            </w:r>
            <w:r w:rsidRPr="000B4E53">
              <w:rPr>
                <w:rFonts w:ascii="Arial" w:hAnsi="Arial" w:cs="Arial"/>
                <w:b/>
                <w:color w:val="FFFFFF"/>
              </w:rPr>
              <w:t>s</w:t>
            </w:r>
            <w:r w:rsidR="001542D4" w:rsidRPr="000B4E53">
              <w:rPr>
                <w:rFonts w:ascii="Arial" w:hAnsi="Arial" w:cs="Arial"/>
                <w:color w:val="FFFFFF"/>
                <w:vertAlign w:val="superscript"/>
              </w:rPr>
              <w:t>xxii</w:t>
            </w:r>
            <w:proofErr w:type="spellEnd"/>
          </w:p>
        </w:tc>
      </w:tr>
      <w:tr w:rsidR="00853906" w:rsidTr="000B4E53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1EB" w:rsidTr="000B4E53">
        <w:trPr>
          <w:trHeight w:val="41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EB" w:rsidRPr="000B4E53" w:rsidRDefault="00D371EB" w:rsidP="00361F2E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Identity of the persons or legal entity subject to the notification obligation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(including legal form of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 Co Ltd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Contact address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(registered office for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 w:rsidRPr="00082F4F">
              <w:rPr>
                <w:rFonts w:ascii="Arial" w:hAnsi="Arial" w:cs="Arial"/>
                <w:sz w:val="20"/>
                <w:szCs w:val="20"/>
              </w:rPr>
              <w:t>33 Sir John Rogerson's Quay</w:t>
            </w:r>
            <w:r>
              <w:rPr>
                <w:rFonts w:ascii="Arial" w:hAnsi="Arial" w:cs="Arial"/>
                <w:sz w:val="20"/>
                <w:szCs w:val="20"/>
              </w:rPr>
              <w:t>, Dublin 2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+353 1 613 0020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Other useful information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(at least legal representative for legal persons)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63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74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506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 xml:space="preserve">B: Identity of the </w:t>
            </w:r>
            <w:proofErr w:type="spellStart"/>
            <w:r w:rsidRPr="000B4E53">
              <w:rPr>
                <w:rFonts w:ascii="Arial" w:hAnsi="Arial" w:cs="Arial"/>
                <w:b/>
              </w:rPr>
              <w:t>notifier</w:t>
            </w:r>
            <w:proofErr w:type="spellEnd"/>
            <w:r w:rsidRPr="000B4E53">
              <w:rPr>
                <w:rFonts w:ascii="Arial" w:hAnsi="Arial" w:cs="Arial"/>
                <w:b/>
              </w:rPr>
              <w:t>, if applicable</w:t>
            </w:r>
          </w:p>
        </w:tc>
      </w:tr>
      <w:tr w:rsidR="00361F2E" w:rsidTr="000B4E53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Other useful information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(e.g. functional relationship with the person or legal entity subject to the notification obligation)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906" w:rsidTr="000B4E53">
        <w:trPr>
          <w:trHeight w:val="254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38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>C: Additional information</w:t>
            </w:r>
          </w:p>
        </w:tc>
      </w:tr>
      <w:tr w:rsidR="00361F2E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F3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7F3" w:rsidRPr="000B4E53" w:rsidRDefault="006907F3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For notes on how to complete form TR-1 please see the F</w:t>
            </w:r>
            <w:r w:rsidR="00920048" w:rsidRPr="000B4E53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A website.</w:t>
            </w:r>
            <w:r w:rsidRPr="000B4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C" w:rsidRDefault="009220FC">
      <w:r>
        <w:separator/>
      </w:r>
    </w:p>
  </w:endnote>
  <w:endnote w:type="continuationSeparator" w:id="0">
    <w:p w:rsidR="009220FC" w:rsidRDefault="009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C" w:rsidRDefault="009220FC">
      <w:r>
        <w:separator/>
      </w:r>
    </w:p>
  </w:footnote>
  <w:footnote w:type="continuationSeparator" w:id="0">
    <w:p w:rsidR="009220FC" w:rsidRDefault="009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D63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D63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82F4F"/>
    <w:rsid w:val="0008596B"/>
    <w:rsid w:val="000B4E53"/>
    <w:rsid w:val="000D145E"/>
    <w:rsid w:val="001100FB"/>
    <w:rsid w:val="00123E78"/>
    <w:rsid w:val="001375CC"/>
    <w:rsid w:val="001542D4"/>
    <w:rsid w:val="00191277"/>
    <w:rsid w:val="001B2C63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0859"/>
    <w:rsid w:val="002B6D5C"/>
    <w:rsid w:val="002E36F4"/>
    <w:rsid w:val="00326029"/>
    <w:rsid w:val="00345EFE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515D9"/>
    <w:rsid w:val="004843E4"/>
    <w:rsid w:val="004A766E"/>
    <w:rsid w:val="004B5BB9"/>
    <w:rsid w:val="005108E5"/>
    <w:rsid w:val="00530851"/>
    <w:rsid w:val="00535D8F"/>
    <w:rsid w:val="00565611"/>
    <w:rsid w:val="0057792A"/>
    <w:rsid w:val="0059597E"/>
    <w:rsid w:val="005A5007"/>
    <w:rsid w:val="005E13C7"/>
    <w:rsid w:val="00631220"/>
    <w:rsid w:val="00641B1A"/>
    <w:rsid w:val="00652A13"/>
    <w:rsid w:val="006907F3"/>
    <w:rsid w:val="0075023F"/>
    <w:rsid w:val="00761DC8"/>
    <w:rsid w:val="00804694"/>
    <w:rsid w:val="008160C2"/>
    <w:rsid w:val="00834F7B"/>
    <w:rsid w:val="008470B2"/>
    <w:rsid w:val="00853906"/>
    <w:rsid w:val="008548C5"/>
    <w:rsid w:val="00862C85"/>
    <w:rsid w:val="008927A1"/>
    <w:rsid w:val="008D0D20"/>
    <w:rsid w:val="008E558C"/>
    <w:rsid w:val="008F6706"/>
    <w:rsid w:val="00902D95"/>
    <w:rsid w:val="00920048"/>
    <w:rsid w:val="009220FC"/>
    <w:rsid w:val="00923F47"/>
    <w:rsid w:val="00937739"/>
    <w:rsid w:val="00964D32"/>
    <w:rsid w:val="009D7732"/>
    <w:rsid w:val="009F78F0"/>
    <w:rsid w:val="00A85DC3"/>
    <w:rsid w:val="00A946F4"/>
    <w:rsid w:val="00A95F17"/>
    <w:rsid w:val="00AE197E"/>
    <w:rsid w:val="00AF2EBC"/>
    <w:rsid w:val="00B339EC"/>
    <w:rsid w:val="00B3642B"/>
    <w:rsid w:val="00B556E0"/>
    <w:rsid w:val="00B8281D"/>
    <w:rsid w:val="00B96E8A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71EB"/>
    <w:rsid w:val="00D6313D"/>
    <w:rsid w:val="00D9132D"/>
    <w:rsid w:val="00E15422"/>
    <w:rsid w:val="00E201F7"/>
    <w:rsid w:val="00E50B76"/>
    <w:rsid w:val="00E73745"/>
    <w:rsid w:val="00E84D34"/>
    <w:rsid w:val="00E8506A"/>
    <w:rsid w:val="00EA7D85"/>
    <w:rsid w:val="00EB1A30"/>
    <w:rsid w:val="00F009F1"/>
    <w:rsid w:val="00F6245A"/>
    <w:rsid w:val="00F81BFF"/>
    <w:rsid w:val="00F91F84"/>
    <w:rsid w:val="00F979FE"/>
    <w:rsid w:val="00FE40E5"/>
    <w:rsid w:val="00FE7BF0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2015-01-26T12:13:00Z</dcterms:created>
  <dcterms:modified xsi:type="dcterms:W3CDTF">2015-01-26T12:15:00Z</dcterms:modified>
</cp:coreProperties>
</file>