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7D" w:rsidRPr="00B47B69" w:rsidRDefault="006E2FC4" w:rsidP="00B47B69">
      <w:pPr>
        <w:shd w:val="clear" w:color="auto" w:fill="FFFFFF"/>
        <w:spacing w:after="0"/>
        <w:jc w:val="right"/>
        <w:rPr>
          <w:rFonts w:eastAsia="Times New Roman" w:cs="Times New Roman"/>
          <w:b/>
          <w:color w:val="444444"/>
          <w:lang w:val="en" w:eastAsia="en-GB"/>
        </w:rPr>
      </w:pPr>
      <w:bookmarkStart w:id="0" w:name="_GoBack"/>
      <w:bookmarkEnd w:id="0"/>
      <w:r w:rsidRPr="00B47B69">
        <w:rPr>
          <w:rFonts w:eastAsia="Times New Roman" w:cs="Times New Roman"/>
          <w:b/>
          <w:color w:val="444444"/>
          <w:lang w:val="en" w:eastAsia="en-GB"/>
        </w:rPr>
        <w:t>2</w:t>
      </w:r>
      <w:r>
        <w:rPr>
          <w:rFonts w:eastAsia="Times New Roman" w:cs="Times New Roman"/>
          <w:b/>
          <w:color w:val="444444"/>
          <w:lang w:val="en" w:eastAsia="en-GB"/>
        </w:rPr>
        <w:t>0</w:t>
      </w:r>
      <w:r w:rsidRPr="00B47B69">
        <w:rPr>
          <w:rFonts w:eastAsia="Times New Roman" w:cs="Times New Roman"/>
          <w:b/>
          <w:color w:val="444444"/>
          <w:lang w:val="en" w:eastAsia="en-GB"/>
        </w:rPr>
        <w:t xml:space="preserve"> </w:t>
      </w:r>
      <w:r w:rsidR="00FC747D" w:rsidRPr="00B47B69">
        <w:rPr>
          <w:rFonts w:eastAsia="Times New Roman" w:cs="Times New Roman"/>
          <w:b/>
          <w:color w:val="444444"/>
          <w:lang w:val="en" w:eastAsia="en-GB"/>
        </w:rPr>
        <w:t>May 2015</w:t>
      </w:r>
    </w:p>
    <w:p w:rsidR="00FC747D" w:rsidRPr="00B47B69" w:rsidRDefault="00FC747D" w:rsidP="00B47B69">
      <w:pPr>
        <w:shd w:val="clear" w:color="auto" w:fill="FFFFFF"/>
        <w:spacing w:after="0"/>
        <w:jc w:val="center"/>
        <w:rPr>
          <w:rFonts w:eastAsia="Times New Roman" w:cs="Times New Roman"/>
          <w:b/>
          <w:color w:val="444444"/>
          <w:lang w:val="en" w:eastAsia="en-GB"/>
        </w:rPr>
      </w:pPr>
      <w:r w:rsidRPr="00B47B69">
        <w:rPr>
          <w:rFonts w:eastAsia="Times New Roman" w:cs="Times New Roman"/>
          <w:b/>
          <w:color w:val="444444"/>
          <w:lang w:val="en" w:eastAsia="en-GB"/>
        </w:rPr>
        <w:t>Michelmersh Brick Holdings PLC</w:t>
      </w:r>
    </w:p>
    <w:p w:rsidR="00FC747D" w:rsidRPr="00B47B69" w:rsidRDefault="00FC747D" w:rsidP="00B47B69">
      <w:pPr>
        <w:shd w:val="clear" w:color="auto" w:fill="FFFFFF"/>
        <w:spacing w:after="0"/>
        <w:jc w:val="center"/>
        <w:rPr>
          <w:rFonts w:eastAsia="Times New Roman" w:cs="Times New Roman"/>
          <w:b/>
          <w:color w:val="444444"/>
          <w:lang w:val="en" w:eastAsia="en-GB"/>
        </w:rPr>
      </w:pPr>
      <w:r w:rsidRPr="00B47B69">
        <w:rPr>
          <w:rFonts w:eastAsia="Times New Roman" w:cs="Times New Roman"/>
          <w:b/>
          <w:color w:val="444444"/>
          <w:lang w:val="en" w:eastAsia="en-GB"/>
        </w:rPr>
        <w:t>("MBH", or the "Group")</w:t>
      </w:r>
    </w:p>
    <w:p w:rsidR="00FC747D" w:rsidRDefault="00FC747D" w:rsidP="00B47B69">
      <w:pPr>
        <w:shd w:val="clear" w:color="auto" w:fill="FFFFFF"/>
        <w:spacing w:after="0"/>
        <w:jc w:val="center"/>
        <w:rPr>
          <w:rFonts w:eastAsia="Times New Roman" w:cs="Times New Roman"/>
          <w:b/>
          <w:color w:val="444444"/>
          <w:lang w:val="en" w:eastAsia="en-GB"/>
        </w:rPr>
      </w:pPr>
      <w:r w:rsidRPr="00B47B69">
        <w:rPr>
          <w:rFonts w:eastAsia="Times New Roman" w:cs="Times New Roman"/>
          <w:b/>
          <w:color w:val="444444"/>
          <w:lang w:val="en" w:eastAsia="en-GB"/>
        </w:rPr>
        <w:t>AGM STATEMENT</w:t>
      </w:r>
    </w:p>
    <w:p w:rsidR="00981AB1" w:rsidRDefault="00981AB1" w:rsidP="00B47B69">
      <w:pPr>
        <w:shd w:val="clear" w:color="auto" w:fill="FFFFFF"/>
        <w:spacing w:after="0"/>
        <w:jc w:val="center"/>
        <w:rPr>
          <w:rFonts w:eastAsia="Times New Roman" w:cs="Times New Roman"/>
          <w:b/>
          <w:color w:val="444444"/>
          <w:lang w:val="en" w:eastAsia="en-GB"/>
        </w:rPr>
      </w:pPr>
    </w:p>
    <w:p w:rsidR="00981AB1" w:rsidRPr="00B47B69" w:rsidRDefault="00981AB1" w:rsidP="00B47B69">
      <w:pPr>
        <w:shd w:val="clear" w:color="auto" w:fill="FFFFFF"/>
        <w:spacing w:after="0"/>
        <w:jc w:val="center"/>
        <w:rPr>
          <w:rFonts w:eastAsia="Times New Roman" w:cs="Times New Roman"/>
          <w:b/>
          <w:color w:val="444444"/>
          <w:lang w:val="en" w:eastAsia="en-GB"/>
        </w:rPr>
      </w:pP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 Michelmersh Brick Holdings PLC (AIM:MBH.L), the specialist brick, land development and landfill company, announces that, at its Annual General Meeting (AGM), which is to be held at 10.30 am today, Mr. Eric Gadsden, Chairman, will make the following statement:</w:t>
      </w: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"I am pleased to report that the Company has continued to perform strongly in the first four months of 2015. Demand has been strong and deliveries are up by 10% on the same period in 2014</w:t>
      </w:r>
      <w:r w:rsidR="00981AB1">
        <w:rPr>
          <w:rFonts w:eastAsia="Times New Roman" w:cs="Times New Roman"/>
          <w:color w:val="444444"/>
          <w:lang w:val="en" w:eastAsia="en-GB"/>
        </w:rPr>
        <w:t>,</w:t>
      </w:r>
      <w:r w:rsidRPr="00B47B69">
        <w:rPr>
          <w:rFonts w:eastAsia="Times New Roman" w:cs="Times New Roman"/>
          <w:color w:val="444444"/>
          <w:lang w:val="en" w:eastAsia="en-GB"/>
        </w:rPr>
        <w:t xml:space="preserve"> partly as a result of the increased capacity at Freshfield Lane. We have also seen continued price improvement as the brick market adjusts to </w:t>
      </w:r>
      <w:r w:rsidR="00D62C4B">
        <w:rPr>
          <w:rFonts w:eastAsia="Times New Roman" w:cs="Times New Roman"/>
          <w:color w:val="444444"/>
          <w:lang w:val="en" w:eastAsia="en-GB"/>
        </w:rPr>
        <w:t>current</w:t>
      </w:r>
      <w:r w:rsidR="00D62C4B" w:rsidRPr="00B47B69">
        <w:rPr>
          <w:rFonts w:eastAsia="Times New Roman" w:cs="Times New Roman"/>
          <w:color w:val="444444"/>
          <w:lang w:val="en" w:eastAsia="en-GB"/>
        </w:rPr>
        <w:t xml:space="preserve"> </w:t>
      </w:r>
      <w:r w:rsidRPr="00B47B69">
        <w:rPr>
          <w:rFonts w:eastAsia="Times New Roman" w:cs="Times New Roman"/>
          <w:color w:val="444444"/>
          <w:lang w:val="en" w:eastAsia="en-GB"/>
        </w:rPr>
        <w:t xml:space="preserve">activity </w:t>
      </w:r>
      <w:r w:rsidR="00D62C4B">
        <w:rPr>
          <w:rFonts w:eastAsia="Times New Roman" w:cs="Times New Roman"/>
          <w:color w:val="444444"/>
          <w:lang w:val="en" w:eastAsia="en-GB"/>
        </w:rPr>
        <w:t xml:space="preserve">levels </w:t>
      </w:r>
      <w:r w:rsidRPr="00B47B69">
        <w:rPr>
          <w:rFonts w:eastAsia="Times New Roman" w:cs="Times New Roman"/>
          <w:color w:val="444444"/>
          <w:lang w:val="en" w:eastAsia="en-GB"/>
        </w:rPr>
        <w:t>in the construction sector.</w:t>
      </w:r>
      <w:r w:rsidR="00575466" w:rsidRPr="00B47B69">
        <w:rPr>
          <w:rFonts w:eastAsia="Times New Roman" w:cs="Times New Roman"/>
          <w:color w:val="444444"/>
          <w:lang w:val="en" w:eastAsia="en-GB"/>
        </w:rPr>
        <w:t xml:space="preserve"> We are actively assessing opportunities to </w:t>
      </w:r>
      <w:r w:rsidR="00D62C4B">
        <w:rPr>
          <w:rFonts w:eastAsia="Times New Roman" w:cs="Times New Roman"/>
          <w:color w:val="444444"/>
          <w:lang w:val="en" w:eastAsia="en-GB"/>
        </w:rPr>
        <w:t xml:space="preserve">further </w:t>
      </w:r>
      <w:r w:rsidR="00575466" w:rsidRPr="00B47B69">
        <w:rPr>
          <w:rFonts w:eastAsia="Times New Roman" w:cs="Times New Roman"/>
          <w:color w:val="444444"/>
          <w:lang w:val="en" w:eastAsia="en-GB"/>
        </w:rPr>
        <w:t>invest in our manufacturing plant</w:t>
      </w:r>
      <w:r w:rsidR="00D62C4B">
        <w:rPr>
          <w:rFonts w:eastAsia="Times New Roman" w:cs="Times New Roman"/>
          <w:color w:val="444444"/>
          <w:lang w:val="en" w:eastAsia="en-GB"/>
        </w:rPr>
        <w:t>s</w:t>
      </w:r>
      <w:r w:rsidR="00575466" w:rsidRPr="00B47B69">
        <w:rPr>
          <w:rFonts w:eastAsia="Times New Roman" w:cs="Times New Roman"/>
          <w:color w:val="444444"/>
          <w:lang w:val="en" w:eastAsia="en-GB"/>
        </w:rPr>
        <w:t xml:space="preserve"> </w:t>
      </w:r>
      <w:r w:rsidR="00D62C4B">
        <w:rPr>
          <w:rFonts w:eastAsia="Times New Roman" w:cs="Times New Roman"/>
          <w:color w:val="444444"/>
          <w:lang w:val="en" w:eastAsia="en-GB"/>
        </w:rPr>
        <w:t>to</w:t>
      </w:r>
      <w:r w:rsidR="00575466" w:rsidRPr="00B47B69">
        <w:rPr>
          <w:rFonts w:eastAsia="Times New Roman" w:cs="Times New Roman"/>
          <w:color w:val="444444"/>
          <w:lang w:val="en" w:eastAsia="en-GB"/>
        </w:rPr>
        <w:t xml:space="preserve"> reduce costs and secure longevity of operations.</w:t>
      </w: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981AB1" w:rsidP="00B47B69">
      <w:pPr>
        <w:shd w:val="clear" w:color="auto" w:fill="FFFFFF"/>
        <w:spacing w:after="0"/>
        <w:jc w:val="both"/>
        <w:rPr>
          <w:rFonts w:eastAsia="Times New Roman" w:cs="Times New Roman"/>
          <w:color w:val="444444"/>
          <w:lang w:val="en" w:eastAsia="en-GB"/>
        </w:rPr>
      </w:pPr>
      <w:r>
        <w:rPr>
          <w:rFonts w:eastAsia="Times New Roman" w:cs="Times New Roman"/>
          <w:color w:val="444444"/>
          <w:lang w:val="en" w:eastAsia="en-GB"/>
        </w:rPr>
        <w:t>“</w:t>
      </w:r>
      <w:r w:rsidR="00FC747D" w:rsidRPr="00B47B69">
        <w:rPr>
          <w:rFonts w:eastAsia="Times New Roman" w:cs="Times New Roman"/>
          <w:color w:val="444444"/>
          <w:lang w:val="en" w:eastAsia="en-GB"/>
        </w:rPr>
        <w:t xml:space="preserve">The Board expects continued strong trading and high demand for its premium product and </w:t>
      </w:r>
      <w:r w:rsidR="00575466" w:rsidRPr="00B47B69">
        <w:rPr>
          <w:rFonts w:eastAsia="Times New Roman" w:cs="Times New Roman"/>
          <w:color w:val="444444"/>
          <w:lang w:val="en" w:eastAsia="en-GB"/>
        </w:rPr>
        <w:t xml:space="preserve">consequently </w:t>
      </w:r>
      <w:r w:rsidR="00DA53B5">
        <w:rPr>
          <w:rFonts w:eastAsia="Times New Roman" w:cs="Times New Roman"/>
          <w:color w:val="444444"/>
          <w:lang w:val="en" w:eastAsia="en-GB"/>
        </w:rPr>
        <w:t xml:space="preserve">anticipates </w:t>
      </w:r>
      <w:r w:rsidR="00575466" w:rsidRPr="00B47B69">
        <w:rPr>
          <w:rFonts w:eastAsia="Times New Roman" w:cs="Times New Roman"/>
          <w:color w:val="444444"/>
          <w:lang w:val="en" w:eastAsia="en-GB"/>
        </w:rPr>
        <w:t>that</w:t>
      </w:r>
      <w:r w:rsidR="00FC747D" w:rsidRPr="00B47B69">
        <w:rPr>
          <w:rFonts w:eastAsia="Times New Roman" w:cs="Times New Roman"/>
          <w:color w:val="444444"/>
          <w:lang w:val="en" w:eastAsia="en-GB"/>
        </w:rPr>
        <w:t xml:space="preserve"> the </w:t>
      </w:r>
      <w:r>
        <w:rPr>
          <w:rFonts w:eastAsia="Times New Roman" w:cs="Times New Roman"/>
          <w:color w:val="444444"/>
          <w:lang w:val="en" w:eastAsia="en-GB"/>
        </w:rPr>
        <w:t>Group</w:t>
      </w:r>
      <w:r w:rsidR="00FC747D" w:rsidRPr="00B47B69">
        <w:rPr>
          <w:rFonts w:eastAsia="Times New Roman" w:cs="Times New Roman"/>
          <w:color w:val="444444"/>
          <w:lang w:val="en" w:eastAsia="en-GB"/>
        </w:rPr>
        <w:t xml:space="preserve"> </w:t>
      </w:r>
      <w:r w:rsidR="00575466" w:rsidRPr="00B47B69">
        <w:rPr>
          <w:rFonts w:eastAsia="Times New Roman" w:cs="Times New Roman"/>
          <w:color w:val="444444"/>
          <w:lang w:val="en" w:eastAsia="en-GB"/>
        </w:rPr>
        <w:t>will</w:t>
      </w:r>
      <w:r w:rsidR="00FC747D" w:rsidRPr="00B47B69">
        <w:rPr>
          <w:rFonts w:eastAsia="Times New Roman" w:cs="Times New Roman"/>
          <w:color w:val="444444"/>
          <w:lang w:val="en" w:eastAsia="en-GB"/>
        </w:rPr>
        <w:t xml:space="preserve"> meet current market expectations for the year to 31 December 2015.</w:t>
      </w:r>
    </w:p>
    <w:p w:rsidR="00FC747D" w:rsidRPr="00B47B69" w:rsidRDefault="00FC747D" w:rsidP="00B47B69">
      <w:pPr>
        <w:shd w:val="clear" w:color="auto" w:fill="FFFFFF"/>
        <w:spacing w:after="0"/>
        <w:jc w:val="both"/>
        <w:rPr>
          <w:rFonts w:eastAsia="Times New Roman" w:cs="Times New Roman"/>
          <w:color w:val="444444"/>
          <w:lang w:val="en" w:eastAsia="en-GB"/>
        </w:rPr>
      </w:pPr>
    </w:p>
    <w:p w:rsidR="00575466" w:rsidRPr="00B47B69" w:rsidRDefault="00981AB1" w:rsidP="00B47B69">
      <w:pPr>
        <w:shd w:val="clear" w:color="auto" w:fill="FFFFFF"/>
        <w:spacing w:after="0"/>
        <w:jc w:val="both"/>
        <w:rPr>
          <w:rFonts w:eastAsia="Times New Roman" w:cs="Times New Roman"/>
          <w:color w:val="444444"/>
          <w:lang w:val="en" w:eastAsia="en-GB"/>
        </w:rPr>
      </w:pPr>
      <w:r>
        <w:rPr>
          <w:rFonts w:eastAsia="Times New Roman" w:cs="Times New Roman"/>
          <w:color w:val="444444"/>
          <w:lang w:val="en" w:eastAsia="en-GB"/>
        </w:rPr>
        <w:t>“</w:t>
      </w:r>
      <w:r w:rsidR="00FC747D" w:rsidRPr="00B47B69">
        <w:rPr>
          <w:rFonts w:eastAsia="Times New Roman" w:cs="Times New Roman"/>
          <w:color w:val="444444"/>
          <w:lang w:val="en" w:eastAsia="en-GB"/>
        </w:rPr>
        <w:t xml:space="preserve">The Board continues </w:t>
      </w:r>
      <w:r w:rsidR="00575466" w:rsidRPr="00B47B69">
        <w:rPr>
          <w:rFonts w:eastAsia="Times New Roman" w:cs="Times New Roman"/>
          <w:color w:val="444444"/>
          <w:lang w:val="en" w:eastAsia="en-GB"/>
        </w:rPr>
        <w:t>to address opportunities with ancillary land assets</w:t>
      </w:r>
      <w:r w:rsidR="00FC747D" w:rsidRPr="00B47B69">
        <w:rPr>
          <w:rFonts w:eastAsia="Times New Roman" w:cs="Times New Roman"/>
          <w:color w:val="444444"/>
          <w:lang w:val="en" w:eastAsia="en-GB"/>
        </w:rPr>
        <w:t xml:space="preserve"> at the Charnwood quarry and the former Dunton brickworks site</w:t>
      </w:r>
      <w:r w:rsidR="00575466" w:rsidRPr="00B47B69">
        <w:rPr>
          <w:rFonts w:eastAsia="Times New Roman" w:cs="Times New Roman"/>
          <w:color w:val="444444"/>
          <w:lang w:val="en" w:eastAsia="en-GB"/>
        </w:rPr>
        <w:t xml:space="preserve"> and expects to report positive progress</w:t>
      </w:r>
      <w:r>
        <w:rPr>
          <w:rFonts w:eastAsia="Times New Roman" w:cs="Times New Roman"/>
          <w:color w:val="444444"/>
          <w:lang w:val="en" w:eastAsia="en-GB"/>
        </w:rPr>
        <w:t xml:space="preserve"> through the year.</w:t>
      </w:r>
      <w:r w:rsidR="00575466" w:rsidRPr="00B47B69">
        <w:rPr>
          <w:rFonts w:eastAsia="Times New Roman" w:cs="Times New Roman"/>
          <w:color w:val="444444"/>
          <w:lang w:val="en" w:eastAsia="en-GB"/>
        </w:rPr>
        <w:t xml:space="preserve"> </w:t>
      </w:r>
    </w:p>
    <w:p w:rsidR="00575466" w:rsidRPr="00B47B69" w:rsidRDefault="00575466" w:rsidP="00B47B69">
      <w:pPr>
        <w:shd w:val="clear" w:color="auto" w:fill="FFFFFF"/>
        <w:spacing w:after="0"/>
        <w:jc w:val="both"/>
        <w:rPr>
          <w:rFonts w:eastAsia="Times New Roman" w:cs="Times New Roman"/>
          <w:color w:val="444444"/>
          <w:lang w:val="en" w:eastAsia="en-GB"/>
        </w:rPr>
      </w:pPr>
    </w:p>
    <w:p w:rsidR="00FC747D" w:rsidRPr="00B47B69" w:rsidRDefault="00981AB1" w:rsidP="00B47B69">
      <w:pPr>
        <w:shd w:val="clear" w:color="auto" w:fill="FFFFFF"/>
        <w:spacing w:after="0"/>
        <w:jc w:val="both"/>
        <w:rPr>
          <w:rFonts w:eastAsia="Times New Roman" w:cs="Times New Roman"/>
          <w:color w:val="444444"/>
          <w:lang w:val="en" w:eastAsia="en-GB"/>
        </w:rPr>
      </w:pPr>
      <w:r>
        <w:rPr>
          <w:rFonts w:eastAsia="Times New Roman" w:cs="Times New Roman"/>
          <w:color w:val="444444"/>
          <w:lang w:val="en" w:eastAsia="en-GB"/>
        </w:rPr>
        <w:t>“</w:t>
      </w:r>
      <w:r w:rsidR="00BA5CDC" w:rsidRPr="00B47B69">
        <w:rPr>
          <w:rFonts w:eastAsia="Times New Roman" w:cs="Times New Roman"/>
          <w:color w:val="444444"/>
          <w:lang w:val="en" w:eastAsia="en-GB"/>
        </w:rPr>
        <w:t xml:space="preserve">The </w:t>
      </w:r>
      <w:r w:rsidR="00FC747D" w:rsidRPr="00B47B69">
        <w:rPr>
          <w:rFonts w:eastAsia="Times New Roman" w:cs="Times New Roman"/>
          <w:color w:val="444444"/>
          <w:lang w:val="en" w:eastAsia="en-GB"/>
        </w:rPr>
        <w:t xml:space="preserve">Group </w:t>
      </w:r>
      <w:r w:rsidR="00BA5CDC" w:rsidRPr="00B47B69">
        <w:rPr>
          <w:rFonts w:eastAsia="Times New Roman" w:cs="Times New Roman"/>
          <w:color w:val="444444"/>
          <w:lang w:val="en" w:eastAsia="en-GB"/>
        </w:rPr>
        <w:t>remains</w:t>
      </w:r>
      <w:r w:rsidR="00FC747D" w:rsidRPr="00B47B69">
        <w:rPr>
          <w:rFonts w:eastAsia="Times New Roman" w:cs="Times New Roman"/>
          <w:color w:val="444444"/>
          <w:lang w:val="en" w:eastAsia="en-GB"/>
        </w:rPr>
        <w:t xml:space="preserve"> uniquely placed in an industry with high barriers to entry. We remain well-financed and positioned to benefit from higher demand for bricks in the UK. Our market position, asset base and enhanced shareholder register gives the Board optimism about our future prospects."</w:t>
      </w: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jc w:val="both"/>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Enquiries:</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tbl>
      <w:tblPr>
        <w:tblW w:w="0" w:type="auto"/>
        <w:tblCellSpacing w:w="0" w:type="dxa"/>
        <w:tblCellMar>
          <w:left w:w="0" w:type="dxa"/>
          <w:right w:w="0" w:type="dxa"/>
        </w:tblCellMar>
        <w:tblLook w:val="04A0" w:firstRow="1" w:lastRow="0" w:firstColumn="1" w:lastColumn="0" w:noHBand="0" w:noVBand="1"/>
      </w:tblPr>
      <w:tblGrid>
        <w:gridCol w:w="3222"/>
        <w:gridCol w:w="1477"/>
        <w:gridCol w:w="156"/>
      </w:tblGrid>
      <w:tr w:rsidR="00FC747D" w:rsidRPr="00981AB1" w:rsidTr="00FC747D">
        <w:trPr>
          <w:tblCellSpacing w:w="0" w:type="dxa"/>
        </w:trPr>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roofErr w:type="spellStart"/>
            <w:r w:rsidRPr="00B47B69">
              <w:rPr>
                <w:rFonts w:eastAsia="Times New Roman" w:cs="Times New Roman"/>
                <w:color w:val="444444"/>
                <w:lang w:eastAsia="en-GB"/>
              </w:rPr>
              <w:t>Michelmersh</w:t>
            </w:r>
            <w:proofErr w:type="spellEnd"/>
            <w:r w:rsidRPr="00B47B69">
              <w:rPr>
                <w:rFonts w:eastAsia="Times New Roman" w:cs="Times New Roman"/>
                <w:color w:val="444444"/>
                <w:lang w:eastAsia="en-GB"/>
              </w:rPr>
              <w:t xml:space="preserve"> Brick Holdings</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Martin Warner, CEO</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Stephen Morgan, Finance Director</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 </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01825 430 413</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
        </w:tc>
      </w:tr>
      <w:tr w:rsidR="00FC747D" w:rsidRPr="00981AB1" w:rsidTr="00FC747D">
        <w:trPr>
          <w:tblCellSpacing w:w="0" w:type="dxa"/>
        </w:trPr>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Cenkos Securities plc</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Bobbie Hilliam (NOMAD)</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Harry Pardoe</w:t>
            </w:r>
          </w:p>
          <w:p w:rsidR="00FC747D" w:rsidRPr="00B47B69" w:rsidRDefault="00575466" w:rsidP="00B47B69">
            <w:pPr>
              <w:spacing w:after="0"/>
              <w:rPr>
                <w:rFonts w:eastAsia="Times New Roman" w:cs="Times New Roman"/>
                <w:color w:val="444444"/>
                <w:lang w:eastAsia="en-GB"/>
              </w:rPr>
            </w:pPr>
            <w:r w:rsidRPr="00B47B69">
              <w:rPr>
                <w:rFonts w:eastAsia="Times New Roman" w:cs="Times New Roman"/>
                <w:color w:val="444444"/>
                <w:lang w:eastAsia="en-GB"/>
              </w:rPr>
              <w:t>Oliver Baxendale</w:t>
            </w:r>
            <w:r w:rsidR="00FC747D" w:rsidRPr="00B47B69">
              <w:rPr>
                <w:rFonts w:eastAsia="Times New Roman" w:cs="Times New Roman"/>
                <w:color w:val="444444"/>
                <w:lang w:eastAsia="en-GB"/>
              </w:rPr>
              <w:t xml:space="preserve"> (Sales)</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 </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020 7397 8900</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
        </w:tc>
      </w:tr>
      <w:tr w:rsidR="00FC747D" w:rsidRPr="00981AB1" w:rsidTr="00FC747D">
        <w:trPr>
          <w:tblCellSpacing w:w="0" w:type="dxa"/>
        </w:trPr>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Yellow Jersey PR</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 xml:space="preserve">Kelsey </w:t>
            </w:r>
            <w:proofErr w:type="spellStart"/>
            <w:r w:rsidRPr="00B47B69">
              <w:rPr>
                <w:rFonts w:eastAsia="Times New Roman" w:cs="Times New Roman"/>
                <w:color w:val="444444"/>
                <w:lang w:eastAsia="en-GB"/>
              </w:rPr>
              <w:t>Traynor</w:t>
            </w:r>
            <w:proofErr w:type="spellEnd"/>
            <w:r w:rsidRPr="00B47B69">
              <w:rPr>
                <w:rFonts w:eastAsia="Times New Roman" w:cs="Times New Roman"/>
                <w:color w:val="444444"/>
                <w:lang w:eastAsia="en-GB"/>
              </w:rPr>
              <w:t xml:space="preserve"> </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 xml:space="preserve">Dominic </w:t>
            </w:r>
            <w:proofErr w:type="spellStart"/>
            <w:r w:rsidRPr="00B47B69">
              <w:rPr>
                <w:rFonts w:eastAsia="Times New Roman" w:cs="Times New Roman"/>
                <w:color w:val="444444"/>
                <w:lang w:eastAsia="en-GB"/>
              </w:rPr>
              <w:t>Barretto</w:t>
            </w:r>
            <w:proofErr w:type="spellEnd"/>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lastRenderedPageBreak/>
              <w:t> </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lastRenderedPageBreak/>
              <w:t> </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07799 003 220</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t>07768 537 739</w:t>
            </w:r>
          </w:p>
          <w:p w:rsidR="00FC747D" w:rsidRPr="00B47B69" w:rsidRDefault="00FC747D" w:rsidP="00B47B69">
            <w:pPr>
              <w:spacing w:after="0"/>
              <w:rPr>
                <w:rFonts w:eastAsia="Times New Roman" w:cs="Times New Roman"/>
                <w:color w:val="444444"/>
                <w:lang w:eastAsia="en-GB"/>
              </w:rPr>
            </w:pPr>
            <w:r w:rsidRPr="00B47B69">
              <w:rPr>
                <w:rFonts w:eastAsia="Times New Roman" w:cs="Times New Roman"/>
                <w:color w:val="444444"/>
                <w:lang w:eastAsia="en-GB"/>
              </w:rPr>
              <w:lastRenderedPageBreak/>
              <w:t> </w:t>
            </w: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
        </w:tc>
      </w:tr>
      <w:tr w:rsidR="00FC747D" w:rsidRPr="00981AB1" w:rsidTr="00FC747D">
        <w:trPr>
          <w:tblCellSpacing w:w="0" w:type="dxa"/>
        </w:trPr>
        <w:tc>
          <w:tcPr>
            <w:tcW w:w="0" w:type="auto"/>
            <w:gridSpan w:val="2"/>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
        </w:tc>
        <w:tc>
          <w:tcPr>
            <w:tcW w:w="0" w:type="auto"/>
            <w:tcMar>
              <w:top w:w="75" w:type="dxa"/>
              <w:left w:w="75" w:type="dxa"/>
              <w:bottom w:w="75" w:type="dxa"/>
              <w:right w:w="75" w:type="dxa"/>
            </w:tcMar>
            <w:hideMark/>
          </w:tcPr>
          <w:p w:rsidR="00FC747D" w:rsidRPr="00B47B69" w:rsidRDefault="00FC747D" w:rsidP="00B47B69">
            <w:pPr>
              <w:spacing w:after="0"/>
              <w:rPr>
                <w:rFonts w:eastAsia="Times New Roman" w:cs="Times New Roman"/>
                <w:color w:val="444444"/>
                <w:lang w:eastAsia="en-GB"/>
              </w:rPr>
            </w:pPr>
          </w:p>
        </w:tc>
      </w:tr>
    </w:tbl>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About Michelmersh Brick Holdings PLC:</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Michelmersh Brick Holdings PLC is a business with five leading market brands: Blockleys, Charnwood, Freshfield Lane, Michelmersh and Hathern Terra Cotta. These divisions operate within a fully integrated business combining the manufacture of clay bricks, tiles and pavers. The Group also includes a landfill operator, New Acres Limited, and seeks to develop future landfill and development opportunities on ancillary land assets.</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Established in 1997 the Company has grown through acquisition and organic growth into a profitable and asset rich business, producing approximately 70 million clay bricks, tiles and pavers per annum. MBH PLC currently owns most of the UK's premium manufacturing brands and is a leading specification brick and clay paving manufacturer.</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Recently Michelmersh's products have been successfully used in prestigious projects such as the Nottingham Railway Station refurbishment, Manchester's Salford Quays regeneration project and the Lend Lease, Elephant and Castle redevelopment in London. We are also suppliers to high value housing developers such as Berkeley and St James Homes, delivering to key city regeneration projects such as Battersea Reach.</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b/>
          <w:bCs/>
          <w:color w:val="444444"/>
          <w:lang w:val="en" w:eastAsia="en-GB"/>
        </w:rPr>
        <w:t xml:space="preserve">Please visit the Group's website at: </w:t>
      </w:r>
      <w:hyperlink r:id="rId5" w:history="1">
        <w:r w:rsidRPr="00B47B69">
          <w:rPr>
            <w:rFonts w:eastAsia="Times New Roman" w:cs="Times New Roman"/>
            <w:b/>
            <w:bCs/>
            <w:color w:val="006796"/>
            <w:lang w:val="en" w:eastAsia="en-GB"/>
          </w:rPr>
          <w:t>www.mbhplc.co.uk</w:t>
        </w:r>
      </w:hyperlink>
      <w:r w:rsidRPr="00B47B69">
        <w:rPr>
          <w:rFonts w:eastAsia="Times New Roman" w:cs="Times New Roman"/>
          <w:b/>
          <w:bCs/>
          <w:color w:val="444444"/>
          <w:lang w:val="en" w:eastAsia="en-GB"/>
        </w:rPr>
        <w:t> </w:t>
      </w:r>
    </w:p>
    <w:p w:rsidR="00FC747D" w:rsidRPr="00B47B69" w:rsidRDefault="00FC747D" w:rsidP="00B47B69">
      <w:pPr>
        <w:shd w:val="clear" w:color="auto" w:fill="FFFFFF"/>
        <w:spacing w:after="0"/>
        <w:rPr>
          <w:rFonts w:eastAsia="Times New Roman" w:cs="Times New Roman"/>
          <w:color w:val="444444"/>
          <w:lang w:val="en" w:eastAsia="en-GB"/>
        </w:rPr>
      </w:pPr>
      <w:r w:rsidRPr="00B47B69">
        <w:rPr>
          <w:rFonts w:eastAsia="Times New Roman" w:cs="Times New Roman"/>
          <w:color w:val="444444"/>
          <w:lang w:val="en" w:eastAsia="en-GB"/>
        </w:rPr>
        <w:t> </w:t>
      </w:r>
    </w:p>
    <w:p w:rsidR="00C55D58" w:rsidRPr="00B47B69" w:rsidRDefault="00BE0449" w:rsidP="00B47B69">
      <w:pPr>
        <w:spacing w:after="0"/>
        <w:rPr>
          <w:rFonts w:cs="Times New Roman"/>
        </w:rPr>
      </w:pPr>
    </w:p>
    <w:sectPr w:rsidR="00C55D58" w:rsidRPr="00B47B69" w:rsidSect="00DA53B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C747D"/>
    <w:rsid w:val="002526D5"/>
    <w:rsid w:val="00441108"/>
    <w:rsid w:val="00575466"/>
    <w:rsid w:val="006E2FC4"/>
    <w:rsid w:val="00981AB1"/>
    <w:rsid w:val="00B47B69"/>
    <w:rsid w:val="00BA5CDC"/>
    <w:rsid w:val="00BE0449"/>
    <w:rsid w:val="00C51878"/>
    <w:rsid w:val="00D62C4B"/>
    <w:rsid w:val="00DA53B5"/>
    <w:rsid w:val="00FC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date">
    <w:name w:val="field-date"/>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w">
    <w:name w:val="aw"/>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
    <w:name w:val="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y">
    <w:name w:val="ay"/>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
    <w:name w:val="t"/>
    <w:basedOn w:val="Normal"/>
    <w:rsid w:val="00F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
    <w:name w:val="an"/>
    <w:basedOn w:val="DefaultParagraphFont"/>
    <w:rsid w:val="00FC747D"/>
  </w:style>
  <w:style w:type="character" w:customStyle="1" w:styleId="aj">
    <w:name w:val="aj"/>
    <w:basedOn w:val="DefaultParagraphFont"/>
    <w:rsid w:val="00FC747D"/>
  </w:style>
  <w:style w:type="character" w:customStyle="1" w:styleId="aa">
    <w:name w:val="aa"/>
    <w:basedOn w:val="DefaultParagraphFont"/>
    <w:rsid w:val="00FC747D"/>
  </w:style>
  <w:style w:type="character" w:customStyle="1" w:styleId="z">
    <w:name w:val="z"/>
    <w:basedOn w:val="DefaultParagraphFont"/>
    <w:rsid w:val="00FC747D"/>
  </w:style>
  <w:style w:type="character" w:customStyle="1" w:styleId="w">
    <w:name w:val="w"/>
    <w:basedOn w:val="DefaultParagraphFont"/>
    <w:rsid w:val="00FC747D"/>
  </w:style>
  <w:style w:type="character" w:customStyle="1" w:styleId="u">
    <w:name w:val="u"/>
    <w:basedOn w:val="DefaultParagraphFont"/>
    <w:rsid w:val="00FC747D"/>
  </w:style>
  <w:style w:type="paragraph" w:styleId="BalloonText">
    <w:name w:val="Balloon Text"/>
    <w:basedOn w:val="Normal"/>
    <w:link w:val="BalloonTextChar"/>
    <w:uiPriority w:val="99"/>
    <w:semiHidden/>
    <w:unhideWhenUsed/>
    <w:rsid w:val="00981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A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4896">
      <w:bodyDiv w:val="1"/>
      <w:marLeft w:val="0"/>
      <w:marRight w:val="0"/>
      <w:marTop w:val="0"/>
      <w:marBottom w:val="0"/>
      <w:divBdr>
        <w:top w:val="none" w:sz="0" w:space="0" w:color="auto"/>
        <w:left w:val="none" w:sz="0" w:space="0" w:color="auto"/>
        <w:bottom w:val="none" w:sz="0" w:space="0" w:color="auto"/>
        <w:right w:val="none" w:sz="0" w:space="0" w:color="auto"/>
      </w:divBdr>
      <w:divsChild>
        <w:div w:id="533231245">
          <w:marLeft w:val="0"/>
          <w:marRight w:val="0"/>
          <w:marTop w:val="0"/>
          <w:marBottom w:val="0"/>
          <w:divBdr>
            <w:top w:val="none" w:sz="0" w:space="0" w:color="auto"/>
            <w:left w:val="none" w:sz="0" w:space="0" w:color="auto"/>
            <w:bottom w:val="none" w:sz="0" w:space="0" w:color="auto"/>
            <w:right w:val="none" w:sz="0" w:space="0" w:color="auto"/>
          </w:divBdr>
          <w:divsChild>
            <w:div w:id="541215203">
              <w:marLeft w:val="0"/>
              <w:marRight w:val="0"/>
              <w:marTop w:val="0"/>
              <w:marBottom w:val="0"/>
              <w:divBdr>
                <w:top w:val="none" w:sz="0" w:space="0" w:color="auto"/>
                <w:left w:val="none" w:sz="0" w:space="0" w:color="auto"/>
                <w:bottom w:val="none" w:sz="0" w:space="0" w:color="auto"/>
                <w:right w:val="none" w:sz="0" w:space="0" w:color="auto"/>
              </w:divBdr>
              <w:divsChild>
                <w:div w:id="1857765872">
                  <w:marLeft w:val="0"/>
                  <w:marRight w:val="0"/>
                  <w:marTop w:val="0"/>
                  <w:marBottom w:val="0"/>
                  <w:divBdr>
                    <w:top w:val="none" w:sz="0" w:space="0" w:color="auto"/>
                    <w:left w:val="none" w:sz="0" w:space="0" w:color="auto"/>
                    <w:bottom w:val="none" w:sz="0" w:space="0" w:color="auto"/>
                    <w:right w:val="none" w:sz="0" w:space="0" w:color="auto"/>
                  </w:divBdr>
                  <w:divsChild>
                    <w:div w:id="1799565125">
                      <w:marLeft w:val="0"/>
                      <w:marRight w:val="0"/>
                      <w:marTop w:val="0"/>
                      <w:marBottom w:val="0"/>
                      <w:divBdr>
                        <w:top w:val="none" w:sz="0" w:space="0" w:color="auto"/>
                        <w:left w:val="none" w:sz="0" w:space="0" w:color="auto"/>
                        <w:bottom w:val="none" w:sz="0" w:space="0" w:color="auto"/>
                        <w:right w:val="none" w:sz="0" w:space="0" w:color="auto"/>
                      </w:divBdr>
                      <w:divsChild>
                        <w:div w:id="102070553">
                          <w:marLeft w:val="0"/>
                          <w:marRight w:val="-14250"/>
                          <w:marTop w:val="0"/>
                          <w:marBottom w:val="240"/>
                          <w:divBdr>
                            <w:top w:val="none" w:sz="0" w:space="0" w:color="auto"/>
                            <w:left w:val="none" w:sz="0" w:space="0" w:color="auto"/>
                            <w:bottom w:val="none" w:sz="0" w:space="0" w:color="auto"/>
                            <w:right w:val="none" w:sz="0" w:space="0" w:color="auto"/>
                          </w:divBdr>
                          <w:divsChild>
                            <w:div w:id="1489902140">
                              <w:marLeft w:val="0"/>
                              <w:marRight w:val="0"/>
                              <w:marTop w:val="0"/>
                              <w:marBottom w:val="0"/>
                              <w:divBdr>
                                <w:top w:val="none" w:sz="0" w:space="0" w:color="auto"/>
                                <w:left w:val="none" w:sz="0" w:space="0" w:color="auto"/>
                                <w:bottom w:val="none" w:sz="0" w:space="0" w:color="auto"/>
                                <w:right w:val="none" w:sz="0" w:space="0" w:color="auto"/>
                              </w:divBdr>
                              <w:divsChild>
                                <w:div w:id="1431700696">
                                  <w:marLeft w:val="0"/>
                                  <w:marRight w:val="0"/>
                                  <w:marTop w:val="0"/>
                                  <w:marBottom w:val="0"/>
                                  <w:divBdr>
                                    <w:top w:val="none" w:sz="0" w:space="0" w:color="auto"/>
                                    <w:left w:val="none" w:sz="0" w:space="0" w:color="auto"/>
                                    <w:bottom w:val="none" w:sz="0" w:space="0" w:color="auto"/>
                                    <w:right w:val="none" w:sz="0" w:space="0" w:color="auto"/>
                                  </w:divBdr>
                                  <w:divsChild>
                                    <w:div w:id="243418462">
                                      <w:marLeft w:val="0"/>
                                      <w:marRight w:val="0"/>
                                      <w:marTop w:val="0"/>
                                      <w:marBottom w:val="0"/>
                                      <w:divBdr>
                                        <w:top w:val="none" w:sz="0" w:space="0" w:color="auto"/>
                                        <w:left w:val="none" w:sz="0" w:space="0" w:color="auto"/>
                                        <w:bottom w:val="none" w:sz="0" w:space="0" w:color="auto"/>
                                        <w:right w:val="none" w:sz="0" w:space="0" w:color="auto"/>
                                      </w:divBdr>
                                      <w:divsChild>
                                        <w:div w:id="104464724">
                                          <w:marLeft w:val="0"/>
                                          <w:marRight w:val="0"/>
                                          <w:marTop w:val="0"/>
                                          <w:marBottom w:val="0"/>
                                          <w:divBdr>
                                            <w:top w:val="none" w:sz="0" w:space="0" w:color="auto"/>
                                            <w:left w:val="none" w:sz="0" w:space="0" w:color="auto"/>
                                            <w:bottom w:val="none" w:sz="0" w:space="0" w:color="auto"/>
                                            <w:right w:val="none" w:sz="0" w:space="0" w:color="auto"/>
                                          </w:divBdr>
                                          <w:divsChild>
                                            <w:div w:id="1033582114">
                                              <w:marLeft w:val="0"/>
                                              <w:marRight w:val="0"/>
                                              <w:marTop w:val="0"/>
                                              <w:marBottom w:val="0"/>
                                              <w:divBdr>
                                                <w:top w:val="none" w:sz="0" w:space="0" w:color="auto"/>
                                                <w:left w:val="none" w:sz="0" w:space="0" w:color="auto"/>
                                                <w:bottom w:val="none" w:sz="0" w:space="0" w:color="auto"/>
                                                <w:right w:val="none" w:sz="0" w:space="0" w:color="auto"/>
                                              </w:divBdr>
                                            </w:div>
                                            <w:div w:id="1531604303">
                                              <w:marLeft w:val="0"/>
                                              <w:marRight w:val="0"/>
                                              <w:marTop w:val="0"/>
                                              <w:marBottom w:val="0"/>
                                              <w:divBdr>
                                                <w:top w:val="none" w:sz="0" w:space="0" w:color="auto"/>
                                                <w:left w:val="none" w:sz="0" w:space="0" w:color="auto"/>
                                                <w:bottom w:val="none" w:sz="0" w:space="0" w:color="auto"/>
                                                <w:right w:val="none" w:sz="0" w:space="0" w:color="auto"/>
                                              </w:divBdr>
                                            </w:div>
                                            <w:div w:id="500318389">
                                              <w:marLeft w:val="0"/>
                                              <w:marRight w:val="0"/>
                                              <w:marTop w:val="0"/>
                                              <w:marBottom w:val="0"/>
                                              <w:divBdr>
                                                <w:top w:val="none" w:sz="0" w:space="0" w:color="auto"/>
                                                <w:left w:val="none" w:sz="0" w:space="0" w:color="auto"/>
                                                <w:bottom w:val="none" w:sz="0" w:space="0" w:color="auto"/>
                                                <w:right w:val="none" w:sz="0" w:space="0" w:color="auto"/>
                                              </w:divBdr>
                                            </w:div>
                                            <w:div w:id="1926762938">
                                              <w:marLeft w:val="0"/>
                                              <w:marRight w:val="0"/>
                                              <w:marTop w:val="0"/>
                                              <w:marBottom w:val="0"/>
                                              <w:divBdr>
                                                <w:top w:val="none" w:sz="0" w:space="0" w:color="auto"/>
                                                <w:left w:val="none" w:sz="0" w:space="0" w:color="auto"/>
                                                <w:bottom w:val="none" w:sz="0" w:space="0" w:color="auto"/>
                                                <w:right w:val="none" w:sz="0" w:space="0" w:color="auto"/>
                                              </w:divBdr>
                                            </w:div>
                                            <w:div w:id="1767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hpl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Morgan</dc:creator>
  <cp:lastModifiedBy>Stephen Morgan</cp:lastModifiedBy>
  <cp:revision>3</cp:revision>
  <cp:lastPrinted>2015-05-19T09:20:00Z</cp:lastPrinted>
  <dcterms:created xsi:type="dcterms:W3CDTF">2015-05-19T09:27:00Z</dcterms:created>
  <dcterms:modified xsi:type="dcterms:W3CDTF">2015-05-19T15:03:00Z</dcterms:modified>
</cp:coreProperties>
</file>