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53128" w14:textId="77777777" w:rsidR="003A6FB3" w:rsidRPr="00E9459A" w:rsidRDefault="003A6FB3" w:rsidP="00990E2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val="en" w:eastAsia="en-GB"/>
        </w:rPr>
      </w:pPr>
      <w:proofErr w:type="spellStart"/>
      <w:r w:rsidRPr="00E9459A">
        <w:rPr>
          <w:rFonts w:eastAsia="Times New Roman" w:cstheme="minorHAnsi"/>
          <w:b/>
          <w:sz w:val="21"/>
          <w:szCs w:val="21"/>
          <w:lang w:val="en" w:eastAsia="en-GB"/>
        </w:rPr>
        <w:t>Michelmersh</w:t>
      </w:r>
      <w:proofErr w:type="spellEnd"/>
      <w:r w:rsidRPr="00E9459A">
        <w:rPr>
          <w:rFonts w:eastAsia="Times New Roman" w:cstheme="minorHAnsi"/>
          <w:b/>
          <w:sz w:val="21"/>
          <w:szCs w:val="21"/>
          <w:lang w:val="en" w:eastAsia="en-GB"/>
        </w:rPr>
        <w:t xml:space="preserve"> Brick Holdings Plc</w:t>
      </w:r>
    </w:p>
    <w:p w14:paraId="20EBB4E2" w14:textId="77777777" w:rsidR="005C6572" w:rsidRPr="00E9459A" w:rsidRDefault="003A6FB3" w:rsidP="00990E2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val="en" w:eastAsia="en-GB"/>
        </w:rPr>
      </w:pPr>
      <w:r w:rsidRPr="00E9459A">
        <w:rPr>
          <w:rFonts w:eastAsia="Times New Roman" w:cstheme="minorHAnsi"/>
          <w:b/>
          <w:sz w:val="21"/>
          <w:szCs w:val="21"/>
          <w:lang w:val="en" w:eastAsia="en-GB"/>
        </w:rPr>
        <w:t>("MBH" or the "Group")</w:t>
      </w:r>
    </w:p>
    <w:p w14:paraId="75BA7FC2" w14:textId="37B7F985" w:rsidR="00E9459A" w:rsidRPr="00E9459A" w:rsidRDefault="00E34DCD" w:rsidP="00E9459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1"/>
          <w:szCs w:val="21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sz w:val="21"/>
          <w:szCs w:val="21"/>
          <w:lang w:eastAsia="en-GB"/>
        </w:rPr>
        <w:t>Transfer of Shares</w:t>
      </w:r>
    </w:p>
    <w:p w14:paraId="3CD44457" w14:textId="36F4AD96" w:rsidR="005C6572" w:rsidRDefault="00E9459A" w:rsidP="00DE791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  <w:r w:rsidRPr="00E9459A">
        <w:rPr>
          <w:rFonts w:eastAsia="Times New Roman" w:cstheme="minorHAnsi"/>
          <w:sz w:val="21"/>
          <w:szCs w:val="21"/>
          <w:lang w:eastAsia="en-GB"/>
        </w:rPr>
        <w:t>Michelmersh Brick Holdings (AIM:MBH), the specialist brick manufacturer and landfill company, announces that</w:t>
      </w:r>
      <w:r w:rsidR="00E34DCD">
        <w:rPr>
          <w:rFonts w:eastAsia="Times New Roman" w:cstheme="minorHAnsi"/>
          <w:sz w:val="21"/>
          <w:szCs w:val="21"/>
          <w:lang w:eastAsia="en-GB"/>
        </w:rPr>
        <w:t xml:space="preserve"> on 23 March 2015, Frank Hanna, the Commercial Director, transferred 16,600 ordinary shares of </w:t>
      </w:r>
      <w:r w:rsidR="006515D0">
        <w:rPr>
          <w:rFonts w:eastAsia="Times New Roman" w:cstheme="minorHAnsi"/>
          <w:sz w:val="21"/>
          <w:szCs w:val="21"/>
          <w:lang w:eastAsia="en-GB"/>
        </w:rPr>
        <w:t>20</w:t>
      </w:r>
      <w:r w:rsidR="00E34DCD">
        <w:rPr>
          <w:rFonts w:eastAsia="Times New Roman" w:cstheme="minorHAnsi"/>
          <w:sz w:val="21"/>
          <w:szCs w:val="21"/>
          <w:lang w:eastAsia="en-GB"/>
        </w:rPr>
        <w:t xml:space="preserve"> pence each </w:t>
      </w:r>
      <w:r w:rsidR="00DE7913">
        <w:rPr>
          <w:rFonts w:eastAsia="Times New Roman" w:cstheme="minorHAnsi"/>
          <w:sz w:val="21"/>
          <w:szCs w:val="21"/>
          <w:lang w:eastAsia="en-GB"/>
        </w:rPr>
        <w:t xml:space="preserve">(“Ordinary Shares”) </w:t>
      </w:r>
      <w:r w:rsidR="00E34DCD">
        <w:rPr>
          <w:rFonts w:eastAsia="Times New Roman" w:cstheme="minorHAnsi"/>
          <w:sz w:val="21"/>
          <w:szCs w:val="21"/>
          <w:lang w:eastAsia="en-GB"/>
        </w:rPr>
        <w:t xml:space="preserve">to his wife for nil value. </w:t>
      </w:r>
      <w:r w:rsidR="00DE7913">
        <w:rPr>
          <w:rFonts w:eastAsia="Times New Roman" w:cstheme="minorHAnsi"/>
          <w:sz w:val="21"/>
          <w:szCs w:val="21"/>
          <w:lang w:eastAsia="en-GB"/>
        </w:rPr>
        <w:t xml:space="preserve">Following the transfer, </w:t>
      </w:r>
      <w:r w:rsidR="00E34DCD" w:rsidRPr="00E34DCD">
        <w:rPr>
          <w:rFonts w:eastAsia="Times New Roman" w:cstheme="minorHAnsi"/>
          <w:sz w:val="21"/>
          <w:szCs w:val="21"/>
          <w:lang w:eastAsia="en-GB"/>
        </w:rPr>
        <w:t xml:space="preserve">Mr </w:t>
      </w:r>
      <w:r w:rsidR="00E34DCD">
        <w:rPr>
          <w:rFonts w:eastAsia="Times New Roman" w:cstheme="minorHAnsi"/>
          <w:sz w:val="21"/>
          <w:szCs w:val="21"/>
          <w:lang w:eastAsia="en-GB"/>
        </w:rPr>
        <w:t>Hanna’s</w:t>
      </w:r>
      <w:r w:rsidR="00E34DCD" w:rsidRPr="00E34DCD">
        <w:rPr>
          <w:rFonts w:eastAsia="Times New Roman" w:cstheme="minorHAnsi"/>
          <w:sz w:val="21"/>
          <w:szCs w:val="21"/>
          <w:lang w:eastAsia="en-GB"/>
        </w:rPr>
        <w:t xml:space="preserve"> total beneficial and non-beneficial interest in the Company remains un</w:t>
      </w:r>
      <w:r w:rsidR="00DE7913">
        <w:rPr>
          <w:rFonts w:eastAsia="Times New Roman" w:cstheme="minorHAnsi"/>
          <w:sz w:val="21"/>
          <w:szCs w:val="21"/>
          <w:lang w:eastAsia="en-GB"/>
        </w:rPr>
        <w:t xml:space="preserve">changed at </w:t>
      </w:r>
      <w:r w:rsidR="00DE7913" w:rsidRPr="00DE7913">
        <w:rPr>
          <w:rFonts w:eastAsia="Times New Roman" w:cstheme="minorHAnsi"/>
          <w:sz w:val="21"/>
          <w:szCs w:val="21"/>
          <w:lang w:eastAsia="en-GB"/>
        </w:rPr>
        <w:t>1,228,015</w:t>
      </w:r>
      <w:r w:rsidR="00DE7913">
        <w:rPr>
          <w:rFonts w:eastAsia="Times New Roman" w:cstheme="minorHAnsi"/>
          <w:sz w:val="21"/>
          <w:szCs w:val="21"/>
          <w:lang w:eastAsia="en-GB"/>
        </w:rPr>
        <w:t xml:space="preserve"> Ordinary Shares, representing approximately 1.51% of the Company’s issued share capital.</w:t>
      </w:r>
    </w:p>
    <w:p w14:paraId="160EDFDE" w14:textId="77777777" w:rsidR="00DE7913" w:rsidRDefault="00DE7913" w:rsidP="00DE791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</w:p>
    <w:p w14:paraId="1F6F97CD" w14:textId="43308559" w:rsidR="00AB1EE9" w:rsidRDefault="00AB1EE9" w:rsidP="00990E2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2</w:t>
      </w:r>
      <w:r w:rsidR="00002D42">
        <w:rPr>
          <w:rFonts w:eastAsia="Times New Roman" w:cstheme="minorHAnsi"/>
          <w:sz w:val="21"/>
          <w:szCs w:val="21"/>
          <w:lang w:eastAsia="en-GB"/>
        </w:rPr>
        <w:t>5</w:t>
      </w:r>
      <w:r>
        <w:rPr>
          <w:rFonts w:eastAsia="Times New Roman" w:cstheme="minorHAnsi"/>
          <w:sz w:val="21"/>
          <w:szCs w:val="21"/>
          <w:lang w:eastAsia="en-GB"/>
        </w:rPr>
        <w:t xml:space="preserve"> March 2015</w:t>
      </w:r>
    </w:p>
    <w:p w14:paraId="171F600D" w14:textId="77777777" w:rsidR="00AB1EE9" w:rsidRPr="00E9459A" w:rsidRDefault="00AB1EE9" w:rsidP="00990E2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156"/>
        <w:gridCol w:w="156"/>
        <w:gridCol w:w="156"/>
      </w:tblGrid>
      <w:tr w:rsidR="00C03796" w:rsidRPr="00E9459A" w14:paraId="302B8E52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E84A3" w14:textId="77777777" w:rsidR="003A6FB3" w:rsidRPr="00E34DCD" w:rsidRDefault="003A6FB3" w:rsidP="00990E2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GB"/>
              </w:rPr>
            </w:pPr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  <w:r w:rsidRPr="00E34DCD">
              <w:rPr>
                <w:rFonts w:eastAsia="Times New Roman" w:cstheme="minorHAnsi"/>
                <w:b/>
                <w:sz w:val="21"/>
                <w:szCs w:val="21"/>
                <w:lang w:eastAsia="en-GB"/>
              </w:rPr>
              <w:t>Enquiries:</w:t>
            </w:r>
          </w:p>
          <w:p w14:paraId="7D43428B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1416"/>
            </w:tblGrid>
            <w:tr w:rsidR="00C03796" w:rsidRPr="00E9459A" w14:paraId="7F04CAA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5CCCD4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Michelmersh Brick Holdings</w:t>
                  </w:r>
                </w:p>
                <w:p w14:paraId="3B2A9E15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Martin Warner, CEO</w:t>
                  </w:r>
                </w:p>
                <w:p w14:paraId="6CFF66E4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Stephen Morgan, Finance Director</w:t>
                  </w:r>
                </w:p>
                <w:p w14:paraId="1D1B1BD0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06AC17" w14:textId="77777777" w:rsidR="003A6FB3" w:rsidRPr="00E9459A" w:rsidRDefault="00F4645C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01825 430413</w:t>
                  </w:r>
                </w:p>
              </w:tc>
            </w:tr>
            <w:tr w:rsidR="00C03796" w:rsidRPr="00E9459A" w14:paraId="56286C3F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DFD391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Cenkos Securities plc</w:t>
                  </w:r>
                </w:p>
                <w:p w14:paraId="26C44C9A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Bobbie Hilliam (NOMAD)</w:t>
                  </w:r>
                </w:p>
                <w:p w14:paraId="53BB6B36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Harry Pardoe</w:t>
                  </w:r>
                </w:p>
                <w:p w14:paraId="580CEA75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Oliver Baxendale (Sales)</w:t>
                  </w:r>
                </w:p>
                <w:p w14:paraId="028B5D4E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8721CC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020 7397 8900</w:t>
                  </w:r>
                </w:p>
              </w:tc>
            </w:tr>
            <w:tr w:rsidR="00C03796" w:rsidRPr="00E9459A" w14:paraId="48B7EE60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CD9542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 xml:space="preserve">Yellow Jersey PR </w:t>
                  </w:r>
                </w:p>
                <w:p w14:paraId="54E40627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Dominic Barretto</w:t>
                  </w:r>
                </w:p>
                <w:p w14:paraId="4ACCE5B4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Kelsey Traynor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94F492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 </w:t>
                  </w:r>
                </w:p>
                <w:p w14:paraId="3A775823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07768 537 739</w:t>
                  </w:r>
                </w:p>
                <w:p w14:paraId="0F7CFB0E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07799 003 220</w:t>
                  </w:r>
                </w:p>
              </w:tc>
            </w:tr>
          </w:tbl>
          <w:p w14:paraId="5340ABBF" w14:textId="77777777" w:rsidR="003A6FB3" w:rsidRPr="00E9459A" w:rsidRDefault="003A6FB3" w:rsidP="005C657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9942D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681BA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 w:rsidR="00C03796" w:rsidRPr="00E9459A" w14:paraId="54E25DC0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F99C9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B7E20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 w:rsidR="00C03796" w:rsidRPr="00E9459A" w14:paraId="1BD0F754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37D93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51651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5F7D2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 w:rsidR="00C03796" w:rsidRPr="00E9459A" w14:paraId="36137D43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D024B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Further information on the Company can be found at </w:t>
            </w:r>
            <w:hyperlink r:id="rId5" w:history="1">
              <w:r w:rsidRPr="00E9459A">
                <w:rPr>
                  <w:rFonts w:eastAsia="Times New Roman" w:cstheme="minorHAnsi"/>
                  <w:b/>
                  <w:bCs/>
                  <w:sz w:val="21"/>
                  <w:szCs w:val="21"/>
                  <w:lang w:eastAsia="en-GB"/>
                </w:rPr>
                <w:t>www.mbhplc.co.uk</w:t>
              </w:r>
            </w:hyperlink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DDA9B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81A3D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 w:rsidR="00C03796" w:rsidRPr="00E9459A" w14:paraId="6251C750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94AC8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6B385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1DF7E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7A716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</w:tbl>
    <w:p w14:paraId="76583D79" w14:textId="77777777" w:rsidR="002A5DE7" w:rsidRPr="00E9459A" w:rsidRDefault="002A5DE7" w:rsidP="00990E20">
      <w:pPr>
        <w:spacing w:after="0" w:line="240" w:lineRule="auto"/>
        <w:rPr>
          <w:rFonts w:cstheme="minorHAnsi"/>
          <w:sz w:val="21"/>
          <w:szCs w:val="21"/>
        </w:rPr>
      </w:pPr>
    </w:p>
    <w:sectPr w:rsidR="002A5DE7" w:rsidRPr="00E9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3A6FB3"/>
    <w:rsid w:val="00002D42"/>
    <w:rsid w:val="00030C5A"/>
    <w:rsid w:val="000806AA"/>
    <w:rsid w:val="00167270"/>
    <w:rsid w:val="001853AC"/>
    <w:rsid w:val="002526D5"/>
    <w:rsid w:val="002A5DE7"/>
    <w:rsid w:val="002F4D0D"/>
    <w:rsid w:val="003469C6"/>
    <w:rsid w:val="003A6FB3"/>
    <w:rsid w:val="00477001"/>
    <w:rsid w:val="005241C2"/>
    <w:rsid w:val="005C6572"/>
    <w:rsid w:val="005D7688"/>
    <w:rsid w:val="006515D0"/>
    <w:rsid w:val="00661BDC"/>
    <w:rsid w:val="00754F32"/>
    <w:rsid w:val="007F56A3"/>
    <w:rsid w:val="00990E20"/>
    <w:rsid w:val="009E42E2"/>
    <w:rsid w:val="00AB1EE9"/>
    <w:rsid w:val="00B746C4"/>
    <w:rsid w:val="00C03796"/>
    <w:rsid w:val="00C51878"/>
    <w:rsid w:val="00CD0427"/>
    <w:rsid w:val="00D145B1"/>
    <w:rsid w:val="00DE7913"/>
    <w:rsid w:val="00E34DCD"/>
    <w:rsid w:val="00E9459A"/>
    <w:rsid w:val="00F00D83"/>
    <w:rsid w:val="00F262B8"/>
    <w:rsid w:val="00F4645C"/>
    <w:rsid w:val="00F513AD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FE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">
    <w:name w:val="at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">
    <w:name w:val="ar"/>
    <w:basedOn w:val="DefaultParagraphFont"/>
    <w:rsid w:val="003A6FB3"/>
  </w:style>
  <w:style w:type="paragraph" w:customStyle="1" w:styleId="au">
    <w:name w:val="au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">
    <w:name w:val="av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o">
    <w:name w:val="ao"/>
    <w:basedOn w:val="DefaultParagraphFont"/>
    <w:rsid w:val="003A6FB3"/>
  </w:style>
  <w:style w:type="paragraph" w:customStyle="1" w:styleId="aw">
    <w:name w:val="aw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m">
    <w:name w:val="am"/>
    <w:basedOn w:val="DefaultParagraphFont"/>
    <w:rsid w:val="003A6FB3"/>
  </w:style>
  <w:style w:type="paragraph" w:customStyle="1" w:styleId="ax">
    <w:name w:val="ax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">
    <w:name w:val="ak"/>
    <w:basedOn w:val="DefaultParagraphFont"/>
    <w:rsid w:val="003A6FB3"/>
  </w:style>
  <w:style w:type="paragraph" w:customStyle="1" w:styleId="az">
    <w:name w:val="az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">
    <w:name w:val="ba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b">
    <w:name w:val="bb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">
    <w:name w:val="x"/>
    <w:basedOn w:val="DefaultParagraphFont"/>
    <w:rsid w:val="003A6FB3"/>
  </w:style>
  <w:style w:type="paragraph" w:customStyle="1" w:styleId="bc">
    <w:name w:val="bc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7"/>
    <w:rPr>
      <w:rFonts w:ascii="Lucida Grande" w:hAnsi="Lucida Grande" w:cs="Lucida Grande"/>
      <w:sz w:val="18"/>
      <w:szCs w:val="18"/>
    </w:rPr>
  </w:style>
  <w:style w:type="character" w:customStyle="1" w:styleId="as">
    <w:name w:val="as"/>
    <w:basedOn w:val="DefaultParagraphFont"/>
    <w:rsid w:val="00E9459A"/>
  </w:style>
  <w:style w:type="paragraph" w:customStyle="1" w:styleId="q">
    <w:name w:val="q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">
    <w:name w:val="o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">
    <w:name w:val="r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94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">
    <w:name w:val="at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">
    <w:name w:val="ar"/>
    <w:basedOn w:val="DefaultParagraphFont"/>
    <w:rsid w:val="003A6FB3"/>
  </w:style>
  <w:style w:type="paragraph" w:customStyle="1" w:styleId="au">
    <w:name w:val="au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">
    <w:name w:val="av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o">
    <w:name w:val="ao"/>
    <w:basedOn w:val="DefaultParagraphFont"/>
    <w:rsid w:val="003A6FB3"/>
  </w:style>
  <w:style w:type="paragraph" w:customStyle="1" w:styleId="aw">
    <w:name w:val="aw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m">
    <w:name w:val="am"/>
    <w:basedOn w:val="DefaultParagraphFont"/>
    <w:rsid w:val="003A6FB3"/>
  </w:style>
  <w:style w:type="paragraph" w:customStyle="1" w:styleId="ax">
    <w:name w:val="ax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">
    <w:name w:val="ak"/>
    <w:basedOn w:val="DefaultParagraphFont"/>
    <w:rsid w:val="003A6FB3"/>
  </w:style>
  <w:style w:type="paragraph" w:customStyle="1" w:styleId="az">
    <w:name w:val="az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">
    <w:name w:val="ba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b">
    <w:name w:val="bb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">
    <w:name w:val="x"/>
    <w:basedOn w:val="DefaultParagraphFont"/>
    <w:rsid w:val="003A6FB3"/>
  </w:style>
  <w:style w:type="paragraph" w:customStyle="1" w:styleId="bc">
    <w:name w:val="bc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7"/>
    <w:rPr>
      <w:rFonts w:ascii="Lucida Grande" w:hAnsi="Lucida Grande" w:cs="Lucida Grande"/>
      <w:sz w:val="18"/>
      <w:szCs w:val="18"/>
    </w:rPr>
  </w:style>
  <w:style w:type="character" w:customStyle="1" w:styleId="as">
    <w:name w:val="as"/>
    <w:basedOn w:val="DefaultParagraphFont"/>
    <w:rsid w:val="00E9459A"/>
  </w:style>
  <w:style w:type="paragraph" w:customStyle="1" w:styleId="q">
    <w:name w:val="q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">
    <w:name w:val="o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">
    <w:name w:val="r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9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426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7781">
                  <w:marLeft w:val="18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794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6346">
                          <w:marLeft w:val="0"/>
                          <w:marRight w:val="-1425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hplc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Morgan</dc:creator>
  <cp:lastModifiedBy>Harry Pardoe</cp:lastModifiedBy>
  <cp:revision>2</cp:revision>
  <cp:lastPrinted>2015-02-19T13:29:00Z</cp:lastPrinted>
  <dcterms:created xsi:type="dcterms:W3CDTF">2015-03-25T12:34:00Z</dcterms:created>
  <dcterms:modified xsi:type="dcterms:W3CDTF">2015-03-25T12:34:00Z</dcterms:modified>
</cp:coreProperties>
</file>