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7D" w:rsidRPr="00484A46" w:rsidRDefault="006E2FC4" w:rsidP="00B47B69">
      <w:pPr>
        <w:shd w:val="clear" w:color="auto" w:fill="FFFFFF"/>
        <w:spacing w:after="0"/>
        <w:jc w:val="right"/>
        <w:rPr>
          <w:rFonts w:eastAsia="Times New Roman" w:cs="Times New Roman"/>
          <w:b/>
          <w:sz w:val="20"/>
          <w:szCs w:val="20"/>
          <w:lang w:val="en" w:eastAsia="en-GB"/>
        </w:rPr>
      </w:pPr>
      <w:r w:rsidRPr="00484A46">
        <w:rPr>
          <w:rFonts w:eastAsia="Times New Roman" w:cs="Times New Roman"/>
          <w:b/>
          <w:sz w:val="20"/>
          <w:szCs w:val="20"/>
          <w:lang w:val="en" w:eastAsia="en-GB"/>
        </w:rPr>
        <w:t>2</w:t>
      </w:r>
      <w:r w:rsidR="00E15BC5" w:rsidRPr="00484A46">
        <w:rPr>
          <w:rFonts w:eastAsia="Times New Roman" w:cs="Times New Roman"/>
          <w:b/>
          <w:sz w:val="20"/>
          <w:szCs w:val="20"/>
          <w:lang w:val="en" w:eastAsia="en-GB"/>
        </w:rPr>
        <w:t>1</w:t>
      </w:r>
      <w:r w:rsidRPr="00484A46">
        <w:rPr>
          <w:rFonts w:eastAsia="Times New Roman" w:cs="Times New Roman"/>
          <w:b/>
          <w:sz w:val="20"/>
          <w:szCs w:val="20"/>
          <w:lang w:val="en" w:eastAsia="en-GB"/>
        </w:rPr>
        <w:t xml:space="preserve"> </w:t>
      </w:r>
      <w:r w:rsidR="00FC747D" w:rsidRPr="00484A46">
        <w:rPr>
          <w:rFonts w:eastAsia="Times New Roman" w:cs="Times New Roman"/>
          <w:b/>
          <w:sz w:val="20"/>
          <w:szCs w:val="20"/>
          <w:lang w:val="en" w:eastAsia="en-GB"/>
        </w:rPr>
        <w:t>May 2015</w:t>
      </w:r>
    </w:p>
    <w:p w:rsidR="00FC747D" w:rsidRPr="00484A46" w:rsidRDefault="00FC747D" w:rsidP="00B47B69">
      <w:pPr>
        <w:shd w:val="clear" w:color="auto" w:fill="FFFFFF"/>
        <w:spacing w:after="0"/>
        <w:jc w:val="center"/>
        <w:rPr>
          <w:rFonts w:eastAsia="Times New Roman" w:cs="Times New Roman"/>
          <w:b/>
          <w:sz w:val="20"/>
          <w:szCs w:val="20"/>
          <w:lang w:val="en" w:eastAsia="en-GB"/>
        </w:rPr>
      </w:pPr>
      <w:r w:rsidRPr="00484A46">
        <w:rPr>
          <w:rFonts w:eastAsia="Times New Roman" w:cs="Times New Roman"/>
          <w:b/>
          <w:sz w:val="20"/>
          <w:szCs w:val="20"/>
          <w:lang w:val="en" w:eastAsia="en-GB"/>
        </w:rPr>
        <w:t>Michelmersh Brick Holdings PLC</w:t>
      </w:r>
    </w:p>
    <w:p w:rsidR="00FC747D" w:rsidRPr="00484A46" w:rsidRDefault="00FC747D" w:rsidP="00B47B69">
      <w:pPr>
        <w:shd w:val="clear" w:color="auto" w:fill="FFFFFF"/>
        <w:spacing w:after="0"/>
        <w:jc w:val="center"/>
        <w:rPr>
          <w:rFonts w:eastAsia="Times New Roman" w:cs="Times New Roman"/>
          <w:b/>
          <w:sz w:val="20"/>
          <w:szCs w:val="20"/>
          <w:lang w:val="en" w:eastAsia="en-GB"/>
        </w:rPr>
      </w:pPr>
      <w:r w:rsidRPr="00484A46">
        <w:rPr>
          <w:rFonts w:eastAsia="Times New Roman" w:cs="Times New Roman"/>
          <w:b/>
          <w:sz w:val="20"/>
          <w:szCs w:val="20"/>
          <w:lang w:val="en" w:eastAsia="en-GB"/>
        </w:rPr>
        <w:t>("MBH" or the "Group")</w:t>
      </w:r>
    </w:p>
    <w:p w:rsidR="00484A46" w:rsidRPr="00484A46" w:rsidRDefault="00484A46" w:rsidP="001214C3">
      <w:pPr>
        <w:shd w:val="clear" w:color="auto" w:fill="FFFFFF"/>
        <w:spacing w:after="0"/>
        <w:jc w:val="center"/>
        <w:rPr>
          <w:rFonts w:eastAsia="Times New Roman" w:cs="Times New Roman"/>
          <w:b/>
          <w:sz w:val="20"/>
          <w:szCs w:val="20"/>
          <w:lang w:val="en" w:eastAsia="en-GB"/>
        </w:rPr>
      </w:pPr>
    </w:p>
    <w:p w:rsidR="001214C3" w:rsidRDefault="001214C3" w:rsidP="001214C3">
      <w:pPr>
        <w:shd w:val="clear" w:color="auto" w:fill="FFFFFF"/>
        <w:spacing w:after="0"/>
        <w:jc w:val="center"/>
        <w:rPr>
          <w:rFonts w:eastAsia="Times New Roman" w:cs="Times New Roman"/>
          <w:b/>
          <w:sz w:val="20"/>
          <w:szCs w:val="20"/>
          <w:lang w:val="en" w:eastAsia="en-GB"/>
        </w:rPr>
      </w:pPr>
      <w:r w:rsidRPr="00484A46">
        <w:rPr>
          <w:rFonts w:eastAsia="Times New Roman" w:cs="Times New Roman"/>
          <w:b/>
          <w:sz w:val="20"/>
          <w:szCs w:val="20"/>
          <w:lang w:val="en" w:eastAsia="en-GB"/>
        </w:rPr>
        <w:t>Grant of Options</w:t>
      </w:r>
    </w:p>
    <w:p w:rsidR="00484A46" w:rsidRPr="00484A46" w:rsidRDefault="00484A46" w:rsidP="001214C3">
      <w:pPr>
        <w:shd w:val="clear" w:color="auto" w:fill="FFFFFF"/>
        <w:spacing w:after="0"/>
        <w:jc w:val="center"/>
        <w:rPr>
          <w:rFonts w:eastAsia="Times New Roman" w:cs="Times New Roman"/>
          <w:b/>
          <w:sz w:val="20"/>
          <w:szCs w:val="20"/>
          <w:lang w:val="en" w:eastAsia="en-GB"/>
        </w:rPr>
      </w:pPr>
    </w:p>
    <w:p w:rsidR="001214C3" w:rsidRPr="00484A46" w:rsidRDefault="001214C3" w:rsidP="00484A46">
      <w:pPr>
        <w:shd w:val="clear" w:color="auto" w:fill="FFFFFF"/>
        <w:spacing w:after="100" w:afterAutospacing="1" w:line="240" w:lineRule="auto"/>
        <w:jc w:val="both"/>
        <w:rPr>
          <w:rFonts w:eastAsia="Times New Roman" w:cs="Times New Roman"/>
          <w:sz w:val="20"/>
          <w:szCs w:val="20"/>
          <w:lang w:val="en" w:eastAsia="en-GB"/>
        </w:rPr>
      </w:pPr>
      <w:r w:rsidRPr="00484A46">
        <w:rPr>
          <w:rFonts w:eastAsia="Times New Roman" w:cs="Times New Roman"/>
          <w:sz w:val="20"/>
          <w:szCs w:val="20"/>
          <w:lang w:val="en" w:eastAsia="en-GB"/>
        </w:rPr>
        <w:t xml:space="preserve">The Company announces that on </w:t>
      </w:r>
      <w:r w:rsidR="00E15BC5" w:rsidRPr="00484A46">
        <w:rPr>
          <w:rFonts w:eastAsia="Times New Roman" w:cs="Times New Roman"/>
          <w:sz w:val="20"/>
          <w:szCs w:val="20"/>
          <w:lang w:val="en" w:eastAsia="en-GB"/>
        </w:rPr>
        <w:t xml:space="preserve">20 </w:t>
      </w:r>
      <w:r w:rsidR="007A5634">
        <w:rPr>
          <w:rFonts w:eastAsia="Times New Roman" w:cs="Times New Roman"/>
          <w:sz w:val="20"/>
          <w:szCs w:val="20"/>
          <w:lang w:val="en" w:eastAsia="en-GB"/>
        </w:rPr>
        <w:t>May</w:t>
      </w:r>
      <w:r w:rsidR="00E15BC5" w:rsidRPr="00484A46">
        <w:rPr>
          <w:rFonts w:eastAsia="Times New Roman" w:cs="Times New Roman"/>
          <w:sz w:val="20"/>
          <w:szCs w:val="20"/>
          <w:lang w:val="en" w:eastAsia="en-GB"/>
        </w:rPr>
        <w:t xml:space="preserve"> 2015</w:t>
      </w:r>
      <w:r w:rsidRPr="00484A46">
        <w:rPr>
          <w:rFonts w:eastAsia="Times New Roman" w:cs="Times New Roman"/>
          <w:sz w:val="20"/>
          <w:szCs w:val="20"/>
          <w:lang w:val="en" w:eastAsia="en-GB"/>
        </w:rPr>
        <w:t xml:space="preserve">, the following options were granted over ordinary shares in the Company of 20 pence nominal value ("Options") to Executive Directors under the </w:t>
      </w:r>
      <w:proofErr w:type="spellStart"/>
      <w:r w:rsidRPr="00484A46">
        <w:rPr>
          <w:rFonts w:eastAsia="Times New Roman" w:cs="Times New Roman"/>
          <w:sz w:val="20"/>
          <w:szCs w:val="20"/>
          <w:lang w:val="en" w:eastAsia="en-GB"/>
        </w:rPr>
        <w:t>Michelmersh</w:t>
      </w:r>
      <w:proofErr w:type="spellEnd"/>
      <w:r w:rsidRPr="00484A46">
        <w:rPr>
          <w:rFonts w:eastAsia="Times New Roman" w:cs="Times New Roman"/>
          <w:sz w:val="20"/>
          <w:szCs w:val="20"/>
          <w:lang w:val="en" w:eastAsia="en-GB"/>
        </w:rPr>
        <w:t xml:space="preserve"> Brick Holdings Plc Non-qualifying Share Option Plan (“LTIP”).</w:t>
      </w:r>
    </w:p>
    <w:tbl>
      <w:tblPr>
        <w:tblW w:w="0" w:type="auto"/>
        <w:tblCellSpacing w:w="0" w:type="dxa"/>
        <w:tblCellMar>
          <w:left w:w="0" w:type="dxa"/>
          <w:right w:w="0" w:type="dxa"/>
        </w:tblCellMar>
        <w:tblLook w:val="04A0" w:firstRow="1" w:lastRow="0" w:firstColumn="1" w:lastColumn="0" w:noHBand="0" w:noVBand="1"/>
      </w:tblPr>
      <w:tblGrid>
        <w:gridCol w:w="1776"/>
        <w:gridCol w:w="1843"/>
        <w:gridCol w:w="1843"/>
        <w:gridCol w:w="1417"/>
        <w:gridCol w:w="2297"/>
      </w:tblGrid>
      <w:tr w:rsidR="00484A46" w:rsidRPr="00484A46" w:rsidTr="00484A46">
        <w:trPr>
          <w:tblCellSpacing w:w="0" w:type="dxa"/>
        </w:trPr>
        <w:tc>
          <w:tcPr>
            <w:tcW w:w="1776"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b/>
                <w:sz w:val="20"/>
                <w:szCs w:val="20"/>
                <w:lang w:eastAsia="en-GB"/>
              </w:rPr>
            </w:pPr>
            <w:r w:rsidRPr="00484A46">
              <w:rPr>
                <w:rFonts w:eastAsia="Times New Roman" w:cs="Times New Roman"/>
                <w:b/>
                <w:sz w:val="20"/>
                <w:szCs w:val="20"/>
                <w:lang w:eastAsia="en-GB"/>
              </w:rPr>
              <w:t>Director</w:t>
            </w:r>
          </w:p>
        </w:tc>
        <w:tc>
          <w:tcPr>
            <w:tcW w:w="1843"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b/>
                <w:sz w:val="20"/>
                <w:szCs w:val="20"/>
                <w:lang w:eastAsia="en-GB"/>
              </w:rPr>
            </w:pPr>
            <w:r w:rsidRPr="00484A46">
              <w:rPr>
                <w:rFonts w:eastAsia="Times New Roman" w:cs="Times New Roman"/>
                <w:b/>
                <w:sz w:val="20"/>
                <w:szCs w:val="20"/>
                <w:lang w:eastAsia="en-GB"/>
              </w:rPr>
              <w:t>Position</w:t>
            </w:r>
          </w:p>
        </w:tc>
        <w:tc>
          <w:tcPr>
            <w:tcW w:w="1843"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b/>
                <w:sz w:val="20"/>
                <w:szCs w:val="20"/>
                <w:lang w:eastAsia="en-GB"/>
              </w:rPr>
            </w:pPr>
            <w:r w:rsidRPr="00484A46">
              <w:rPr>
                <w:rFonts w:eastAsia="Times New Roman" w:cs="Times New Roman"/>
                <w:b/>
                <w:sz w:val="20"/>
                <w:szCs w:val="20"/>
                <w:lang w:eastAsia="en-GB"/>
              </w:rPr>
              <w:t>Number of Options granted</w:t>
            </w:r>
          </w:p>
        </w:tc>
        <w:tc>
          <w:tcPr>
            <w:tcW w:w="1417"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b/>
                <w:sz w:val="20"/>
                <w:szCs w:val="20"/>
                <w:lang w:eastAsia="en-GB"/>
              </w:rPr>
            </w:pPr>
            <w:r w:rsidRPr="00484A46">
              <w:rPr>
                <w:rFonts w:eastAsia="Times New Roman" w:cs="Times New Roman"/>
                <w:b/>
                <w:sz w:val="20"/>
                <w:szCs w:val="20"/>
                <w:lang w:eastAsia="en-GB"/>
              </w:rPr>
              <w:t>Exercise price</w:t>
            </w:r>
          </w:p>
        </w:tc>
        <w:tc>
          <w:tcPr>
            <w:tcW w:w="2297"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b/>
                <w:sz w:val="20"/>
                <w:szCs w:val="20"/>
                <w:lang w:eastAsia="en-GB"/>
              </w:rPr>
            </w:pPr>
            <w:r w:rsidRPr="00484A46">
              <w:rPr>
                <w:rFonts w:eastAsia="Times New Roman" w:cs="Times New Roman"/>
                <w:b/>
                <w:sz w:val="20"/>
                <w:szCs w:val="20"/>
                <w:lang w:eastAsia="en-GB"/>
              </w:rPr>
              <w:t xml:space="preserve">Total number of Options held following grant </w:t>
            </w:r>
          </w:p>
        </w:tc>
      </w:tr>
      <w:tr w:rsidR="00484A46" w:rsidRPr="00484A46" w:rsidTr="00484A46">
        <w:trPr>
          <w:tblCellSpacing w:w="0" w:type="dxa"/>
        </w:trPr>
        <w:tc>
          <w:tcPr>
            <w:tcW w:w="1776"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Frank Hanna</w:t>
            </w:r>
          </w:p>
        </w:tc>
        <w:tc>
          <w:tcPr>
            <w:tcW w:w="1843"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Commercial Director</w:t>
            </w:r>
          </w:p>
        </w:tc>
        <w:tc>
          <w:tcPr>
            <w:tcW w:w="1843"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350,000</w:t>
            </w:r>
          </w:p>
        </w:tc>
        <w:tc>
          <w:tcPr>
            <w:tcW w:w="1417"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nil</w:t>
            </w:r>
          </w:p>
        </w:tc>
        <w:tc>
          <w:tcPr>
            <w:tcW w:w="2297"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391,000</w:t>
            </w:r>
          </w:p>
        </w:tc>
      </w:tr>
      <w:tr w:rsidR="00484A46" w:rsidRPr="00484A46" w:rsidTr="00484A46">
        <w:trPr>
          <w:tblCellSpacing w:w="0" w:type="dxa"/>
        </w:trPr>
        <w:tc>
          <w:tcPr>
            <w:tcW w:w="1776"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Stephen Morgan</w:t>
            </w:r>
          </w:p>
        </w:tc>
        <w:tc>
          <w:tcPr>
            <w:tcW w:w="1843"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Finance Director</w:t>
            </w:r>
          </w:p>
        </w:tc>
        <w:tc>
          <w:tcPr>
            <w:tcW w:w="1843"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300,000</w:t>
            </w:r>
          </w:p>
        </w:tc>
        <w:tc>
          <w:tcPr>
            <w:tcW w:w="1417"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nil</w:t>
            </w:r>
          </w:p>
        </w:tc>
        <w:tc>
          <w:tcPr>
            <w:tcW w:w="2297"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341,000</w:t>
            </w:r>
          </w:p>
        </w:tc>
      </w:tr>
      <w:tr w:rsidR="00484A46" w:rsidRPr="00484A46" w:rsidTr="00484A46">
        <w:trPr>
          <w:tblCellSpacing w:w="0" w:type="dxa"/>
        </w:trPr>
        <w:tc>
          <w:tcPr>
            <w:tcW w:w="1776"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Peter Sharp</w:t>
            </w:r>
          </w:p>
        </w:tc>
        <w:tc>
          <w:tcPr>
            <w:tcW w:w="1843"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Group Operations Director</w:t>
            </w:r>
          </w:p>
        </w:tc>
        <w:tc>
          <w:tcPr>
            <w:tcW w:w="1843"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350,000</w:t>
            </w:r>
          </w:p>
        </w:tc>
        <w:tc>
          <w:tcPr>
            <w:tcW w:w="1417"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nil</w:t>
            </w:r>
          </w:p>
        </w:tc>
        <w:tc>
          <w:tcPr>
            <w:tcW w:w="2297" w:type="dxa"/>
            <w:tcMar>
              <w:top w:w="75" w:type="dxa"/>
              <w:left w:w="75" w:type="dxa"/>
              <w:bottom w:w="75" w:type="dxa"/>
              <w:right w:w="75" w:type="dxa"/>
            </w:tcMar>
            <w:hideMark/>
          </w:tcPr>
          <w:p w:rsidR="001214C3" w:rsidRPr="00484A46" w:rsidRDefault="001214C3" w:rsidP="001214C3">
            <w:pPr>
              <w:spacing w:before="100" w:beforeAutospacing="1" w:after="100" w:afterAutospacing="1" w:line="240" w:lineRule="auto"/>
              <w:rPr>
                <w:rFonts w:eastAsia="Times New Roman" w:cs="Times New Roman"/>
                <w:sz w:val="20"/>
                <w:szCs w:val="20"/>
                <w:lang w:eastAsia="en-GB"/>
              </w:rPr>
            </w:pPr>
            <w:r w:rsidRPr="00484A46">
              <w:rPr>
                <w:rFonts w:eastAsia="Times New Roman" w:cs="Times New Roman"/>
                <w:sz w:val="20"/>
                <w:szCs w:val="20"/>
                <w:lang w:eastAsia="en-GB"/>
              </w:rPr>
              <w:t>454,157*</w:t>
            </w:r>
          </w:p>
        </w:tc>
      </w:tr>
    </w:tbl>
    <w:p w:rsidR="001214C3" w:rsidRPr="00484A46" w:rsidRDefault="001214C3" w:rsidP="00484A46">
      <w:pPr>
        <w:shd w:val="clear" w:color="auto" w:fill="FFFFFF"/>
        <w:spacing w:before="100" w:beforeAutospacing="1" w:after="100" w:afterAutospacing="1" w:line="240" w:lineRule="auto"/>
        <w:jc w:val="both"/>
        <w:rPr>
          <w:rFonts w:eastAsia="Times New Roman" w:cs="Times New Roman"/>
          <w:sz w:val="20"/>
          <w:szCs w:val="20"/>
          <w:lang w:val="en" w:eastAsia="en-GB"/>
        </w:rPr>
      </w:pPr>
      <w:r w:rsidRPr="00484A46">
        <w:rPr>
          <w:rFonts w:eastAsia="Times New Roman" w:cs="Times New Roman"/>
          <w:sz w:val="20"/>
          <w:szCs w:val="20"/>
          <w:lang w:val="en" w:eastAsia="en-GB"/>
        </w:rPr>
        <w:t xml:space="preserve"> *Following the subsequent grant of Options, above, </w:t>
      </w:r>
      <w:proofErr w:type="spellStart"/>
      <w:r w:rsidRPr="00484A46">
        <w:rPr>
          <w:rFonts w:eastAsia="Times New Roman" w:cs="Times New Roman"/>
          <w:sz w:val="20"/>
          <w:szCs w:val="20"/>
          <w:lang w:val="en" w:eastAsia="en-GB"/>
        </w:rPr>
        <w:t>Mr</w:t>
      </w:r>
      <w:proofErr w:type="spellEnd"/>
      <w:r w:rsidRPr="00484A46">
        <w:rPr>
          <w:rFonts w:eastAsia="Times New Roman" w:cs="Times New Roman"/>
          <w:sz w:val="20"/>
          <w:szCs w:val="20"/>
          <w:lang w:val="en" w:eastAsia="en-GB"/>
        </w:rPr>
        <w:t xml:space="preserve"> Sharp now owns 454,157 options, with 63,157 of these Options held under the Company Share Save Scheme.</w:t>
      </w:r>
    </w:p>
    <w:p w:rsidR="001214C3" w:rsidRPr="00484A46" w:rsidRDefault="001214C3" w:rsidP="00484A46">
      <w:pPr>
        <w:shd w:val="clear" w:color="auto" w:fill="FFFFFF"/>
        <w:spacing w:before="100" w:beforeAutospacing="1" w:after="100" w:afterAutospacing="1" w:line="240" w:lineRule="auto"/>
        <w:jc w:val="both"/>
        <w:rPr>
          <w:rFonts w:eastAsia="Times New Roman" w:cs="Times New Roman"/>
          <w:sz w:val="20"/>
          <w:szCs w:val="20"/>
          <w:lang w:val="en" w:eastAsia="en-GB"/>
        </w:rPr>
      </w:pPr>
      <w:r w:rsidRPr="00484A46">
        <w:rPr>
          <w:rFonts w:eastAsia="Times New Roman" w:cs="Times New Roman"/>
          <w:sz w:val="20"/>
          <w:szCs w:val="20"/>
          <w:lang w:val="en" w:eastAsia="en-GB"/>
        </w:rPr>
        <w:t>The new Options were granted to the three Executive Directors under an un</w:t>
      </w:r>
      <w:r w:rsidR="00233FC3" w:rsidRPr="00484A46">
        <w:rPr>
          <w:rFonts w:eastAsia="Times New Roman" w:cs="Times New Roman"/>
          <w:sz w:val="20"/>
          <w:szCs w:val="20"/>
          <w:lang w:val="en" w:eastAsia="en-GB"/>
        </w:rPr>
        <w:t>approved Long Term Incentive Plan</w:t>
      </w:r>
      <w:r w:rsidRPr="00484A46">
        <w:rPr>
          <w:rFonts w:eastAsia="Times New Roman" w:cs="Times New Roman"/>
          <w:sz w:val="20"/>
          <w:szCs w:val="20"/>
          <w:lang w:val="en" w:eastAsia="en-GB"/>
        </w:rPr>
        <w:t>, and accumulate in each of the financial years 2015 to 2019</w:t>
      </w:r>
      <w:r w:rsidR="00233FC3" w:rsidRPr="00484A46">
        <w:rPr>
          <w:rFonts w:eastAsia="Times New Roman" w:cs="Times New Roman"/>
          <w:sz w:val="20"/>
          <w:szCs w:val="20"/>
          <w:lang w:val="en" w:eastAsia="en-GB"/>
        </w:rPr>
        <w:t xml:space="preserve"> provided that performance targets are met. The options</w:t>
      </w:r>
      <w:r w:rsidRPr="00484A46">
        <w:rPr>
          <w:rFonts w:eastAsia="Times New Roman" w:cs="Times New Roman"/>
          <w:sz w:val="20"/>
          <w:szCs w:val="20"/>
          <w:lang w:val="en" w:eastAsia="en-GB"/>
        </w:rPr>
        <w:t xml:space="preserve"> may be exercised after </w:t>
      </w:r>
      <w:r w:rsidR="00000214" w:rsidRPr="00484A46">
        <w:rPr>
          <w:rFonts w:eastAsia="Times New Roman" w:cs="Times New Roman"/>
          <w:sz w:val="20"/>
          <w:szCs w:val="20"/>
          <w:lang w:val="en" w:eastAsia="en-GB"/>
        </w:rPr>
        <w:t>release of the 2019 Annual Report</w:t>
      </w:r>
      <w:r w:rsidR="00024F55">
        <w:rPr>
          <w:rFonts w:eastAsia="Times New Roman" w:cs="Times New Roman"/>
          <w:sz w:val="20"/>
          <w:szCs w:val="20"/>
          <w:lang w:val="en" w:eastAsia="en-GB"/>
        </w:rPr>
        <w:t>,</w:t>
      </w:r>
      <w:bookmarkStart w:id="0" w:name="_GoBack"/>
      <w:bookmarkEnd w:id="0"/>
      <w:r w:rsidR="00000214" w:rsidRPr="00484A46">
        <w:rPr>
          <w:rFonts w:eastAsia="Times New Roman" w:cs="Times New Roman"/>
          <w:sz w:val="20"/>
          <w:szCs w:val="20"/>
          <w:lang w:val="en" w:eastAsia="en-GB"/>
        </w:rPr>
        <w:t xml:space="preserve"> </w:t>
      </w:r>
      <w:r w:rsidR="00024F55">
        <w:rPr>
          <w:rFonts w:eastAsia="Times New Roman" w:cs="Times New Roman"/>
          <w:sz w:val="20"/>
          <w:szCs w:val="20"/>
          <w:lang w:val="en" w:eastAsia="en-GB"/>
        </w:rPr>
        <w:t xml:space="preserve">expected in </w:t>
      </w:r>
      <w:r w:rsidR="00000214" w:rsidRPr="00484A46">
        <w:rPr>
          <w:rFonts w:eastAsia="Times New Roman" w:cs="Times New Roman"/>
          <w:sz w:val="20"/>
          <w:szCs w:val="20"/>
          <w:lang w:val="en" w:eastAsia="en-GB"/>
        </w:rPr>
        <w:t>March 2020.</w:t>
      </w:r>
    </w:p>
    <w:p w:rsidR="00FC747D" w:rsidRPr="00484A46" w:rsidRDefault="00FC747D" w:rsidP="00B47B69">
      <w:pPr>
        <w:shd w:val="clear" w:color="auto" w:fill="FFFFFF"/>
        <w:spacing w:after="0"/>
        <w:jc w:val="both"/>
        <w:rPr>
          <w:rFonts w:eastAsia="Times New Roman" w:cs="Times New Roman"/>
          <w:sz w:val="20"/>
          <w:szCs w:val="20"/>
          <w:lang w:val="en" w:eastAsia="en-GB"/>
        </w:rPr>
      </w:pPr>
      <w:r w:rsidRPr="00484A46">
        <w:rPr>
          <w:rFonts w:eastAsia="Times New Roman" w:cs="Times New Roman"/>
          <w:sz w:val="20"/>
          <w:szCs w:val="20"/>
          <w:lang w:val="en" w:eastAsia="en-GB"/>
        </w:rPr>
        <w:t> </w:t>
      </w:r>
    </w:p>
    <w:p w:rsidR="00FC747D" w:rsidRPr="00484A46" w:rsidRDefault="00FC747D" w:rsidP="00B47B69">
      <w:pPr>
        <w:shd w:val="clear" w:color="auto" w:fill="FFFFFF"/>
        <w:spacing w:after="0"/>
        <w:rPr>
          <w:rFonts w:eastAsia="Times New Roman" w:cs="Times New Roman"/>
          <w:b/>
          <w:sz w:val="20"/>
          <w:szCs w:val="20"/>
          <w:lang w:val="en" w:eastAsia="en-GB"/>
        </w:rPr>
      </w:pPr>
      <w:r w:rsidRPr="00484A46">
        <w:rPr>
          <w:rFonts w:eastAsia="Times New Roman" w:cs="Times New Roman"/>
          <w:b/>
          <w:sz w:val="20"/>
          <w:szCs w:val="20"/>
          <w:lang w:val="en" w:eastAsia="en-GB"/>
        </w:rPr>
        <w:t>Enquiries:</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 </w:t>
      </w:r>
    </w:p>
    <w:tbl>
      <w:tblPr>
        <w:tblW w:w="0" w:type="auto"/>
        <w:tblCellSpacing w:w="0" w:type="dxa"/>
        <w:tblCellMar>
          <w:left w:w="0" w:type="dxa"/>
          <w:right w:w="0" w:type="dxa"/>
        </w:tblCellMar>
        <w:tblLook w:val="04A0" w:firstRow="1" w:lastRow="0" w:firstColumn="1" w:lastColumn="0" w:noHBand="0" w:noVBand="1"/>
      </w:tblPr>
      <w:tblGrid>
        <w:gridCol w:w="2943"/>
        <w:gridCol w:w="1356"/>
        <w:gridCol w:w="156"/>
      </w:tblGrid>
      <w:tr w:rsidR="00484A46" w:rsidRPr="00484A46" w:rsidTr="00FC747D">
        <w:trPr>
          <w:tblCellSpacing w:w="0" w:type="dxa"/>
        </w:trPr>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proofErr w:type="spellStart"/>
            <w:r w:rsidRPr="00484A46">
              <w:rPr>
                <w:rFonts w:eastAsia="Times New Roman" w:cs="Times New Roman"/>
                <w:sz w:val="20"/>
                <w:szCs w:val="20"/>
                <w:lang w:eastAsia="en-GB"/>
              </w:rPr>
              <w:t>Michelmersh</w:t>
            </w:r>
            <w:proofErr w:type="spellEnd"/>
            <w:r w:rsidRPr="00484A46">
              <w:rPr>
                <w:rFonts w:eastAsia="Times New Roman" w:cs="Times New Roman"/>
                <w:sz w:val="20"/>
                <w:szCs w:val="20"/>
                <w:lang w:eastAsia="en-GB"/>
              </w:rPr>
              <w:t xml:space="preserve"> Brick Holdings</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Martin Warner, CEO</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Stephen Morgan, Finance Director</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 </w:t>
            </w:r>
          </w:p>
        </w:tc>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01825 430 413</w:t>
            </w:r>
          </w:p>
        </w:tc>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p>
        </w:tc>
      </w:tr>
      <w:tr w:rsidR="00484A46" w:rsidRPr="00484A46" w:rsidTr="00FC747D">
        <w:trPr>
          <w:tblCellSpacing w:w="0" w:type="dxa"/>
        </w:trPr>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Cenkos Securities plc</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Bobbie Hilliam (NOMAD)</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Harry Pardoe</w:t>
            </w:r>
          </w:p>
          <w:p w:rsidR="00FC747D" w:rsidRPr="00484A46" w:rsidRDefault="00575466" w:rsidP="00B47B69">
            <w:pPr>
              <w:spacing w:after="0"/>
              <w:rPr>
                <w:rFonts w:eastAsia="Times New Roman" w:cs="Times New Roman"/>
                <w:sz w:val="20"/>
                <w:szCs w:val="20"/>
                <w:lang w:eastAsia="en-GB"/>
              </w:rPr>
            </w:pPr>
            <w:r w:rsidRPr="00484A46">
              <w:rPr>
                <w:rFonts w:eastAsia="Times New Roman" w:cs="Times New Roman"/>
                <w:sz w:val="20"/>
                <w:szCs w:val="20"/>
                <w:lang w:eastAsia="en-GB"/>
              </w:rPr>
              <w:t>Oliver Baxendale</w:t>
            </w:r>
            <w:r w:rsidR="00FC747D" w:rsidRPr="00484A46">
              <w:rPr>
                <w:rFonts w:eastAsia="Times New Roman" w:cs="Times New Roman"/>
                <w:sz w:val="20"/>
                <w:szCs w:val="20"/>
                <w:lang w:eastAsia="en-GB"/>
              </w:rPr>
              <w:t xml:space="preserve"> (Sales)</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 </w:t>
            </w:r>
          </w:p>
        </w:tc>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020 7397 8900</w:t>
            </w:r>
          </w:p>
        </w:tc>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p>
        </w:tc>
      </w:tr>
      <w:tr w:rsidR="00484A46" w:rsidRPr="00484A46" w:rsidTr="00FC747D">
        <w:trPr>
          <w:tblCellSpacing w:w="0" w:type="dxa"/>
        </w:trPr>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Yellow Jersey PR</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 xml:space="preserve">Kelsey Traynor </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Dominic Barretto</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 </w:t>
            </w:r>
          </w:p>
        </w:tc>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 </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07799 003 220</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07768 537 739</w:t>
            </w:r>
          </w:p>
          <w:p w:rsidR="00FC747D" w:rsidRPr="00484A46" w:rsidRDefault="00FC747D" w:rsidP="00B47B69">
            <w:pPr>
              <w:spacing w:after="0"/>
              <w:rPr>
                <w:rFonts w:eastAsia="Times New Roman" w:cs="Times New Roman"/>
                <w:sz w:val="20"/>
                <w:szCs w:val="20"/>
                <w:lang w:eastAsia="en-GB"/>
              </w:rPr>
            </w:pPr>
            <w:r w:rsidRPr="00484A46">
              <w:rPr>
                <w:rFonts w:eastAsia="Times New Roman" w:cs="Times New Roman"/>
                <w:sz w:val="20"/>
                <w:szCs w:val="20"/>
                <w:lang w:eastAsia="en-GB"/>
              </w:rPr>
              <w:t> </w:t>
            </w:r>
          </w:p>
        </w:tc>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p>
        </w:tc>
      </w:tr>
      <w:tr w:rsidR="00484A46" w:rsidRPr="00484A46" w:rsidTr="00FC747D">
        <w:trPr>
          <w:tblCellSpacing w:w="0" w:type="dxa"/>
        </w:trPr>
        <w:tc>
          <w:tcPr>
            <w:tcW w:w="0" w:type="auto"/>
            <w:gridSpan w:val="2"/>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p>
        </w:tc>
        <w:tc>
          <w:tcPr>
            <w:tcW w:w="0" w:type="auto"/>
            <w:tcMar>
              <w:top w:w="75" w:type="dxa"/>
              <w:left w:w="75" w:type="dxa"/>
              <w:bottom w:w="75" w:type="dxa"/>
              <w:right w:w="75" w:type="dxa"/>
            </w:tcMar>
            <w:hideMark/>
          </w:tcPr>
          <w:p w:rsidR="00FC747D" w:rsidRPr="00484A46" w:rsidRDefault="00FC747D" w:rsidP="00B47B69">
            <w:pPr>
              <w:spacing w:after="0"/>
              <w:rPr>
                <w:rFonts w:eastAsia="Times New Roman" w:cs="Times New Roman"/>
                <w:sz w:val="20"/>
                <w:szCs w:val="20"/>
                <w:lang w:eastAsia="en-GB"/>
              </w:rPr>
            </w:pPr>
          </w:p>
        </w:tc>
      </w:tr>
    </w:tbl>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About Michelmersh Brick Holdings PLC:</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 </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Michelmersh Brick Holdings PLC is a business with five leading market brands: Blockleys, Charnwood, Freshfield Lane, Michelmersh and Hathern Terra Cotta. These divisions operate within a fully integrated business combining the manufacture of clay bricks, tiles and pavers. The Group also includes a landfill operator, New Acres Limited, and seeks to develop future landfill and development opportunities on ancillary land assets.</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 </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lastRenderedPageBreak/>
        <w:t>Established in 1997 the Company has grown through acquisition and organic growth into a profitable and asset rich business, producing approximately 70 million clay bricks, tiles and pavers per annum. MBH PLC currently owns most of the UK's premium manufacturing brands and is a leading specification brick and clay paving manufacturer.</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 </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Recently Michelmersh's products have been successfully used in prestigious projects such as the Nottingham Railway Station refurbishment, Manchester's Salford Quays regeneration project and the Lend Lease, Elephant and Castle redevelopment in London. We are also suppliers to high value housing developers such as Berkeley and St James Homes, delivering to key city regeneration projects such as Battersea Reach.</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 </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b/>
          <w:bCs/>
          <w:sz w:val="20"/>
          <w:szCs w:val="20"/>
          <w:lang w:val="en" w:eastAsia="en-GB"/>
        </w:rPr>
        <w:t xml:space="preserve">Please visit the Group's website at: </w:t>
      </w:r>
      <w:hyperlink r:id="rId5" w:history="1">
        <w:r w:rsidRPr="00484A46">
          <w:rPr>
            <w:rFonts w:eastAsia="Times New Roman" w:cs="Times New Roman"/>
            <w:b/>
            <w:bCs/>
            <w:sz w:val="20"/>
            <w:szCs w:val="20"/>
            <w:lang w:val="en" w:eastAsia="en-GB"/>
          </w:rPr>
          <w:t>www.mbhplc.co.uk</w:t>
        </w:r>
      </w:hyperlink>
      <w:r w:rsidRPr="00484A46">
        <w:rPr>
          <w:rFonts w:eastAsia="Times New Roman" w:cs="Times New Roman"/>
          <w:b/>
          <w:bCs/>
          <w:sz w:val="20"/>
          <w:szCs w:val="20"/>
          <w:lang w:val="en" w:eastAsia="en-GB"/>
        </w:rPr>
        <w:t> </w:t>
      </w:r>
    </w:p>
    <w:p w:rsidR="00FC747D" w:rsidRPr="00484A46" w:rsidRDefault="00FC747D" w:rsidP="00B47B69">
      <w:pPr>
        <w:shd w:val="clear" w:color="auto" w:fill="FFFFFF"/>
        <w:spacing w:after="0"/>
        <w:rPr>
          <w:rFonts w:eastAsia="Times New Roman" w:cs="Times New Roman"/>
          <w:sz w:val="20"/>
          <w:szCs w:val="20"/>
          <w:lang w:val="en" w:eastAsia="en-GB"/>
        </w:rPr>
      </w:pPr>
      <w:r w:rsidRPr="00484A46">
        <w:rPr>
          <w:rFonts w:eastAsia="Times New Roman" w:cs="Times New Roman"/>
          <w:sz w:val="20"/>
          <w:szCs w:val="20"/>
          <w:lang w:val="en" w:eastAsia="en-GB"/>
        </w:rPr>
        <w:t> </w:t>
      </w:r>
    </w:p>
    <w:p w:rsidR="00C55D58" w:rsidRPr="00484A46" w:rsidRDefault="00024F55" w:rsidP="00B47B69">
      <w:pPr>
        <w:spacing w:after="0"/>
        <w:rPr>
          <w:rFonts w:cs="Times New Roman"/>
          <w:sz w:val="20"/>
          <w:szCs w:val="20"/>
        </w:rPr>
      </w:pPr>
    </w:p>
    <w:sectPr w:rsidR="00C55D58" w:rsidRPr="00484A46" w:rsidSect="00DA53B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C747D"/>
    <w:rsid w:val="00000214"/>
    <w:rsid w:val="00024F55"/>
    <w:rsid w:val="001214C3"/>
    <w:rsid w:val="00233FC3"/>
    <w:rsid w:val="002526D5"/>
    <w:rsid w:val="00441108"/>
    <w:rsid w:val="00484A46"/>
    <w:rsid w:val="00575466"/>
    <w:rsid w:val="006E2FC4"/>
    <w:rsid w:val="006E761E"/>
    <w:rsid w:val="00706B79"/>
    <w:rsid w:val="007A5634"/>
    <w:rsid w:val="00981AB1"/>
    <w:rsid w:val="00B47B69"/>
    <w:rsid w:val="00BA5CDC"/>
    <w:rsid w:val="00C34BB6"/>
    <w:rsid w:val="00C51878"/>
    <w:rsid w:val="00D62C4B"/>
    <w:rsid w:val="00DA53B5"/>
    <w:rsid w:val="00E15BC5"/>
    <w:rsid w:val="00FC7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date">
    <w:name w:val="field-date"/>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
    <w:name w:val="ap"/>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
    <w:name w:val="ar"/>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
    <w:name w:val="au"/>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w">
    <w:name w:val="aw"/>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x">
    <w:name w:val="ax"/>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
    <w:name w:val="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y">
    <w:name w:val="a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
    <w:name w:val="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
    <w:name w:val="an"/>
    <w:basedOn w:val="DefaultParagraphFont"/>
    <w:rsid w:val="00FC747D"/>
  </w:style>
  <w:style w:type="character" w:customStyle="1" w:styleId="aj">
    <w:name w:val="aj"/>
    <w:basedOn w:val="DefaultParagraphFont"/>
    <w:rsid w:val="00FC747D"/>
  </w:style>
  <w:style w:type="character" w:customStyle="1" w:styleId="aa">
    <w:name w:val="aa"/>
    <w:basedOn w:val="DefaultParagraphFont"/>
    <w:rsid w:val="00FC747D"/>
  </w:style>
  <w:style w:type="character" w:customStyle="1" w:styleId="z">
    <w:name w:val="z"/>
    <w:basedOn w:val="DefaultParagraphFont"/>
    <w:rsid w:val="00FC747D"/>
  </w:style>
  <w:style w:type="character" w:customStyle="1" w:styleId="w">
    <w:name w:val="w"/>
    <w:basedOn w:val="DefaultParagraphFont"/>
    <w:rsid w:val="00FC747D"/>
  </w:style>
  <w:style w:type="character" w:customStyle="1" w:styleId="u">
    <w:name w:val="u"/>
    <w:basedOn w:val="DefaultParagraphFont"/>
    <w:rsid w:val="00FC747D"/>
  </w:style>
  <w:style w:type="paragraph" w:styleId="BalloonText">
    <w:name w:val="Balloon Text"/>
    <w:basedOn w:val="Normal"/>
    <w:link w:val="BalloonTextChar"/>
    <w:uiPriority w:val="99"/>
    <w:semiHidden/>
    <w:unhideWhenUsed/>
    <w:rsid w:val="00981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AB1"/>
    <w:rPr>
      <w:rFonts w:ascii="Lucida Grande" w:hAnsi="Lucida Grande" w:cs="Lucida Grande"/>
      <w:sz w:val="18"/>
      <w:szCs w:val="18"/>
    </w:rPr>
  </w:style>
  <w:style w:type="paragraph" w:customStyle="1" w:styleId="az">
    <w:name w:val="az"/>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
    <w:name w:val="ba"/>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
    <w:name w:val="bb"/>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
    <w:name w:val="av"/>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date">
    <w:name w:val="field-date"/>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
    <w:name w:val="ap"/>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
    <w:name w:val="ar"/>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
    <w:name w:val="au"/>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w">
    <w:name w:val="aw"/>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x">
    <w:name w:val="ax"/>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
    <w:name w:val="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y">
    <w:name w:val="a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
    <w:name w:val="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
    <w:name w:val="an"/>
    <w:basedOn w:val="DefaultParagraphFont"/>
    <w:rsid w:val="00FC747D"/>
  </w:style>
  <w:style w:type="character" w:customStyle="1" w:styleId="aj">
    <w:name w:val="aj"/>
    <w:basedOn w:val="DefaultParagraphFont"/>
    <w:rsid w:val="00FC747D"/>
  </w:style>
  <w:style w:type="character" w:customStyle="1" w:styleId="aa">
    <w:name w:val="aa"/>
    <w:basedOn w:val="DefaultParagraphFont"/>
    <w:rsid w:val="00FC747D"/>
  </w:style>
  <w:style w:type="character" w:customStyle="1" w:styleId="z">
    <w:name w:val="z"/>
    <w:basedOn w:val="DefaultParagraphFont"/>
    <w:rsid w:val="00FC747D"/>
  </w:style>
  <w:style w:type="character" w:customStyle="1" w:styleId="w">
    <w:name w:val="w"/>
    <w:basedOn w:val="DefaultParagraphFont"/>
    <w:rsid w:val="00FC747D"/>
  </w:style>
  <w:style w:type="character" w:customStyle="1" w:styleId="u">
    <w:name w:val="u"/>
    <w:basedOn w:val="DefaultParagraphFont"/>
    <w:rsid w:val="00FC747D"/>
  </w:style>
  <w:style w:type="paragraph" w:styleId="BalloonText">
    <w:name w:val="Balloon Text"/>
    <w:basedOn w:val="Normal"/>
    <w:link w:val="BalloonTextChar"/>
    <w:uiPriority w:val="99"/>
    <w:semiHidden/>
    <w:unhideWhenUsed/>
    <w:rsid w:val="00981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AB1"/>
    <w:rPr>
      <w:rFonts w:ascii="Lucida Grande" w:hAnsi="Lucida Grande" w:cs="Lucida Grande"/>
      <w:sz w:val="18"/>
      <w:szCs w:val="18"/>
    </w:rPr>
  </w:style>
  <w:style w:type="paragraph" w:customStyle="1" w:styleId="az">
    <w:name w:val="az"/>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
    <w:name w:val="ba"/>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
    <w:name w:val="bb"/>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
    <w:name w:val="av"/>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1214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2130">
      <w:bodyDiv w:val="1"/>
      <w:marLeft w:val="0"/>
      <w:marRight w:val="0"/>
      <w:marTop w:val="0"/>
      <w:marBottom w:val="0"/>
      <w:divBdr>
        <w:top w:val="none" w:sz="0" w:space="0" w:color="auto"/>
        <w:left w:val="none" w:sz="0" w:space="0" w:color="auto"/>
        <w:bottom w:val="none" w:sz="0" w:space="0" w:color="auto"/>
        <w:right w:val="none" w:sz="0" w:space="0" w:color="auto"/>
      </w:divBdr>
      <w:divsChild>
        <w:div w:id="440148078">
          <w:marLeft w:val="0"/>
          <w:marRight w:val="0"/>
          <w:marTop w:val="495"/>
          <w:marBottom w:val="0"/>
          <w:divBdr>
            <w:top w:val="none" w:sz="0" w:space="0" w:color="auto"/>
            <w:left w:val="none" w:sz="0" w:space="0" w:color="auto"/>
            <w:bottom w:val="none" w:sz="0" w:space="0" w:color="auto"/>
            <w:right w:val="none" w:sz="0" w:space="0" w:color="auto"/>
          </w:divBdr>
          <w:divsChild>
            <w:div w:id="928153209">
              <w:marLeft w:val="0"/>
              <w:marRight w:val="0"/>
              <w:marTop w:val="0"/>
              <w:marBottom w:val="0"/>
              <w:divBdr>
                <w:top w:val="none" w:sz="0" w:space="0" w:color="auto"/>
                <w:left w:val="none" w:sz="0" w:space="0" w:color="auto"/>
                <w:bottom w:val="none" w:sz="0" w:space="0" w:color="auto"/>
                <w:right w:val="none" w:sz="0" w:space="0" w:color="auto"/>
              </w:divBdr>
              <w:divsChild>
                <w:div w:id="1601404641">
                  <w:marLeft w:val="0"/>
                  <w:marRight w:val="0"/>
                  <w:marTop w:val="0"/>
                  <w:marBottom w:val="0"/>
                  <w:divBdr>
                    <w:top w:val="none" w:sz="0" w:space="0" w:color="auto"/>
                    <w:left w:val="none" w:sz="0" w:space="0" w:color="auto"/>
                    <w:bottom w:val="none" w:sz="0" w:space="0" w:color="auto"/>
                    <w:right w:val="none" w:sz="0" w:space="0" w:color="auto"/>
                  </w:divBdr>
                  <w:divsChild>
                    <w:div w:id="958533208">
                      <w:marLeft w:val="0"/>
                      <w:marRight w:val="0"/>
                      <w:marTop w:val="0"/>
                      <w:marBottom w:val="0"/>
                      <w:divBdr>
                        <w:top w:val="none" w:sz="0" w:space="0" w:color="auto"/>
                        <w:left w:val="none" w:sz="0" w:space="0" w:color="auto"/>
                        <w:bottom w:val="none" w:sz="0" w:space="0" w:color="auto"/>
                        <w:right w:val="none" w:sz="0" w:space="0" w:color="auto"/>
                      </w:divBdr>
                      <w:divsChild>
                        <w:div w:id="983507601">
                          <w:marLeft w:val="0"/>
                          <w:marRight w:val="-14250"/>
                          <w:marTop w:val="0"/>
                          <w:marBottom w:val="240"/>
                          <w:divBdr>
                            <w:top w:val="none" w:sz="0" w:space="0" w:color="auto"/>
                            <w:left w:val="none" w:sz="0" w:space="0" w:color="auto"/>
                            <w:bottom w:val="none" w:sz="0" w:space="0" w:color="auto"/>
                            <w:right w:val="none" w:sz="0" w:space="0" w:color="auto"/>
                          </w:divBdr>
                          <w:divsChild>
                            <w:div w:id="1252085193">
                              <w:marLeft w:val="0"/>
                              <w:marRight w:val="0"/>
                              <w:marTop w:val="0"/>
                              <w:marBottom w:val="0"/>
                              <w:divBdr>
                                <w:top w:val="none" w:sz="0" w:space="0" w:color="auto"/>
                                <w:left w:val="none" w:sz="0" w:space="0" w:color="auto"/>
                                <w:bottom w:val="none" w:sz="0" w:space="0" w:color="auto"/>
                                <w:right w:val="none" w:sz="0" w:space="0" w:color="auto"/>
                              </w:divBdr>
                              <w:divsChild>
                                <w:div w:id="592124695">
                                  <w:marLeft w:val="0"/>
                                  <w:marRight w:val="0"/>
                                  <w:marTop w:val="0"/>
                                  <w:marBottom w:val="0"/>
                                  <w:divBdr>
                                    <w:top w:val="none" w:sz="0" w:space="0" w:color="auto"/>
                                    <w:left w:val="none" w:sz="0" w:space="0" w:color="auto"/>
                                    <w:bottom w:val="none" w:sz="0" w:space="0" w:color="auto"/>
                                    <w:right w:val="none" w:sz="0" w:space="0" w:color="auto"/>
                                  </w:divBdr>
                                  <w:divsChild>
                                    <w:div w:id="572860493">
                                      <w:marLeft w:val="0"/>
                                      <w:marRight w:val="0"/>
                                      <w:marTop w:val="0"/>
                                      <w:marBottom w:val="0"/>
                                      <w:divBdr>
                                        <w:top w:val="none" w:sz="0" w:space="0" w:color="auto"/>
                                        <w:left w:val="none" w:sz="0" w:space="0" w:color="auto"/>
                                        <w:bottom w:val="none" w:sz="0" w:space="0" w:color="auto"/>
                                        <w:right w:val="none" w:sz="0" w:space="0" w:color="auto"/>
                                      </w:divBdr>
                                      <w:divsChild>
                                        <w:div w:id="1950626583">
                                          <w:marLeft w:val="0"/>
                                          <w:marRight w:val="0"/>
                                          <w:marTop w:val="0"/>
                                          <w:marBottom w:val="0"/>
                                          <w:divBdr>
                                            <w:top w:val="none" w:sz="0" w:space="0" w:color="auto"/>
                                            <w:left w:val="none" w:sz="0" w:space="0" w:color="auto"/>
                                            <w:bottom w:val="none" w:sz="0" w:space="0" w:color="auto"/>
                                            <w:right w:val="none" w:sz="0" w:space="0" w:color="auto"/>
                                          </w:divBdr>
                                          <w:divsChild>
                                            <w:div w:id="1658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074896">
      <w:bodyDiv w:val="1"/>
      <w:marLeft w:val="0"/>
      <w:marRight w:val="0"/>
      <w:marTop w:val="0"/>
      <w:marBottom w:val="0"/>
      <w:divBdr>
        <w:top w:val="none" w:sz="0" w:space="0" w:color="auto"/>
        <w:left w:val="none" w:sz="0" w:space="0" w:color="auto"/>
        <w:bottom w:val="none" w:sz="0" w:space="0" w:color="auto"/>
        <w:right w:val="none" w:sz="0" w:space="0" w:color="auto"/>
      </w:divBdr>
      <w:divsChild>
        <w:div w:id="533231245">
          <w:marLeft w:val="0"/>
          <w:marRight w:val="0"/>
          <w:marTop w:val="0"/>
          <w:marBottom w:val="0"/>
          <w:divBdr>
            <w:top w:val="none" w:sz="0" w:space="0" w:color="auto"/>
            <w:left w:val="none" w:sz="0" w:space="0" w:color="auto"/>
            <w:bottom w:val="none" w:sz="0" w:space="0" w:color="auto"/>
            <w:right w:val="none" w:sz="0" w:space="0" w:color="auto"/>
          </w:divBdr>
          <w:divsChild>
            <w:div w:id="541215203">
              <w:marLeft w:val="0"/>
              <w:marRight w:val="0"/>
              <w:marTop w:val="0"/>
              <w:marBottom w:val="0"/>
              <w:divBdr>
                <w:top w:val="none" w:sz="0" w:space="0" w:color="auto"/>
                <w:left w:val="none" w:sz="0" w:space="0" w:color="auto"/>
                <w:bottom w:val="none" w:sz="0" w:space="0" w:color="auto"/>
                <w:right w:val="none" w:sz="0" w:space="0" w:color="auto"/>
              </w:divBdr>
              <w:divsChild>
                <w:div w:id="1857765872">
                  <w:marLeft w:val="0"/>
                  <w:marRight w:val="0"/>
                  <w:marTop w:val="0"/>
                  <w:marBottom w:val="0"/>
                  <w:divBdr>
                    <w:top w:val="none" w:sz="0" w:space="0" w:color="auto"/>
                    <w:left w:val="none" w:sz="0" w:space="0" w:color="auto"/>
                    <w:bottom w:val="none" w:sz="0" w:space="0" w:color="auto"/>
                    <w:right w:val="none" w:sz="0" w:space="0" w:color="auto"/>
                  </w:divBdr>
                  <w:divsChild>
                    <w:div w:id="1799565125">
                      <w:marLeft w:val="0"/>
                      <w:marRight w:val="0"/>
                      <w:marTop w:val="0"/>
                      <w:marBottom w:val="0"/>
                      <w:divBdr>
                        <w:top w:val="none" w:sz="0" w:space="0" w:color="auto"/>
                        <w:left w:val="none" w:sz="0" w:space="0" w:color="auto"/>
                        <w:bottom w:val="none" w:sz="0" w:space="0" w:color="auto"/>
                        <w:right w:val="none" w:sz="0" w:space="0" w:color="auto"/>
                      </w:divBdr>
                      <w:divsChild>
                        <w:div w:id="102070553">
                          <w:marLeft w:val="0"/>
                          <w:marRight w:val="-14250"/>
                          <w:marTop w:val="0"/>
                          <w:marBottom w:val="240"/>
                          <w:divBdr>
                            <w:top w:val="none" w:sz="0" w:space="0" w:color="auto"/>
                            <w:left w:val="none" w:sz="0" w:space="0" w:color="auto"/>
                            <w:bottom w:val="none" w:sz="0" w:space="0" w:color="auto"/>
                            <w:right w:val="none" w:sz="0" w:space="0" w:color="auto"/>
                          </w:divBdr>
                          <w:divsChild>
                            <w:div w:id="1489902140">
                              <w:marLeft w:val="0"/>
                              <w:marRight w:val="0"/>
                              <w:marTop w:val="0"/>
                              <w:marBottom w:val="0"/>
                              <w:divBdr>
                                <w:top w:val="none" w:sz="0" w:space="0" w:color="auto"/>
                                <w:left w:val="none" w:sz="0" w:space="0" w:color="auto"/>
                                <w:bottom w:val="none" w:sz="0" w:space="0" w:color="auto"/>
                                <w:right w:val="none" w:sz="0" w:space="0" w:color="auto"/>
                              </w:divBdr>
                              <w:divsChild>
                                <w:div w:id="1431700696">
                                  <w:marLeft w:val="0"/>
                                  <w:marRight w:val="0"/>
                                  <w:marTop w:val="0"/>
                                  <w:marBottom w:val="0"/>
                                  <w:divBdr>
                                    <w:top w:val="none" w:sz="0" w:space="0" w:color="auto"/>
                                    <w:left w:val="none" w:sz="0" w:space="0" w:color="auto"/>
                                    <w:bottom w:val="none" w:sz="0" w:space="0" w:color="auto"/>
                                    <w:right w:val="none" w:sz="0" w:space="0" w:color="auto"/>
                                  </w:divBdr>
                                  <w:divsChild>
                                    <w:div w:id="243418462">
                                      <w:marLeft w:val="0"/>
                                      <w:marRight w:val="0"/>
                                      <w:marTop w:val="0"/>
                                      <w:marBottom w:val="0"/>
                                      <w:divBdr>
                                        <w:top w:val="none" w:sz="0" w:space="0" w:color="auto"/>
                                        <w:left w:val="none" w:sz="0" w:space="0" w:color="auto"/>
                                        <w:bottom w:val="none" w:sz="0" w:space="0" w:color="auto"/>
                                        <w:right w:val="none" w:sz="0" w:space="0" w:color="auto"/>
                                      </w:divBdr>
                                      <w:divsChild>
                                        <w:div w:id="104464724">
                                          <w:marLeft w:val="0"/>
                                          <w:marRight w:val="0"/>
                                          <w:marTop w:val="0"/>
                                          <w:marBottom w:val="0"/>
                                          <w:divBdr>
                                            <w:top w:val="none" w:sz="0" w:space="0" w:color="auto"/>
                                            <w:left w:val="none" w:sz="0" w:space="0" w:color="auto"/>
                                            <w:bottom w:val="none" w:sz="0" w:space="0" w:color="auto"/>
                                            <w:right w:val="none" w:sz="0" w:space="0" w:color="auto"/>
                                          </w:divBdr>
                                          <w:divsChild>
                                            <w:div w:id="1033582114">
                                              <w:marLeft w:val="0"/>
                                              <w:marRight w:val="0"/>
                                              <w:marTop w:val="0"/>
                                              <w:marBottom w:val="0"/>
                                              <w:divBdr>
                                                <w:top w:val="none" w:sz="0" w:space="0" w:color="auto"/>
                                                <w:left w:val="none" w:sz="0" w:space="0" w:color="auto"/>
                                                <w:bottom w:val="none" w:sz="0" w:space="0" w:color="auto"/>
                                                <w:right w:val="none" w:sz="0" w:space="0" w:color="auto"/>
                                              </w:divBdr>
                                            </w:div>
                                            <w:div w:id="1531604303">
                                              <w:marLeft w:val="0"/>
                                              <w:marRight w:val="0"/>
                                              <w:marTop w:val="0"/>
                                              <w:marBottom w:val="0"/>
                                              <w:divBdr>
                                                <w:top w:val="none" w:sz="0" w:space="0" w:color="auto"/>
                                                <w:left w:val="none" w:sz="0" w:space="0" w:color="auto"/>
                                                <w:bottom w:val="none" w:sz="0" w:space="0" w:color="auto"/>
                                                <w:right w:val="none" w:sz="0" w:space="0" w:color="auto"/>
                                              </w:divBdr>
                                            </w:div>
                                            <w:div w:id="500318389">
                                              <w:marLeft w:val="0"/>
                                              <w:marRight w:val="0"/>
                                              <w:marTop w:val="0"/>
                                              <w:marBottom w:val="0"/>
                                              <w:divBdr>
                                                <w:top w:val="none" w:sz="0" w:space="0" w:color="auto"/>
                                                <w:left w:val="none" w:sz="0" w:space="0" w:color="auto"/>
                                                <w:bottom w:val="none" w:sz="0" w:space="0" w:color="auto"/>
                                                <w:right w:val="none" w:sz="0" w:space="0" w:color="auto"/>
                                              </w:divBdr>
                                            </w:div>
                                            <w:div w:id="1926762938">
                                              <w:marLeft w:val="0"/>
                                              <w:marRight w:val="0"/>
                                              <w:marTop w:val="0"/>
                                              <w:marBottom w:val="0"/>
                                              <w:divBdr>
                                                <w:top w:val="none" w:sz="0" w:space="0" w:color="auto"/>
                                                <w:left w:val="none" w:sz="0" w:space="0" w:color="auto"/>
                                                <w:bottom w:val="none" w:sz="0" w:space="0" w:color="auto"/>
                                                <w:right w:val="none" w:sz="0" w:space="0" w:color="auto"/>
                                              </w:divBdr>
                                            </w:div>
                                            <w:div w:id="17675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bhpl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Morgan</dc:creator>
  <cp:lastModifiedBy>Harry Pardoe</cp:lastModifiedBy>
  <cp:revision>2</cp:revision>
  <cp:lastPrinted>2015-05-19T16:50:00Z</cp:lastPrinted>
  <dcterms:created xsi:type="dcterms:W3CDTF">2015-05-21T10:15:00Z</dcterms:created>
  <dcterms:modified xsi:type="dcterms:W3CDTF">2015-05-21T10:15:00Z</dcterms:modified>
</cp:coreProperties>
</file>