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A6" w:rsidRPr="004231A6" w:rsidRDefault="004231A6" w:rsidP="004231A6">
      <w:pPr>
        <w:spacing w:after="0" w:line="240" w:lineRule="auto"/>
        <w:rPr>
          <w:rFonts w:ascii="Times New Roman" w:eastAsia="Times New Roman" w:hAnsi="Times New Roman" w:cs="Times New Roman"/>
          <w:sz w:val="24"/>
          <w:szCs w:val="24"/>
          <w:lang w:val="en" w:eastAsia="en-GB"/>
        </w:rPr>
      </w:pPr>
      <w:proofErr w:type="spellStart"/>
      <w:r w:rsidRPr="004231A6">
        <w:rPr>
          <w:rFonts w:ascii="Times New Roman" w:eastAsia="Times New Roman" w:hAnsi="Times New Roman" w:cs="Times New Roman"/>
          <w:sz w:val="24"/>
          <w:szCs w:val="24"/>
          <w:lang w:val="en" w:eastAsia="en-GB"/>
        </w:rPr>
        <w:t>Michelmersh</w:t>
      </w:r>
      <w:proofErr w:type="spellEnd"/>
      <w:r w:rsidRPr="004231A6">
        <w:rPr>
          <w:rFonts w:ascii="Times New Roman" w:eastAsia="Times New Roman" w:hAnsi="Times New Roman" w:cs="Times New Roman"/>
          <w:sz w:val="24"/>
          <w:szCs w:val="24"/>
          <w:lang w:val="en" w:eastAsia="en-GB"/>
        </w:rPr>
        <w:t xml:space="preserve"> Brick Holdings PLC</w:t>
      </w:r>
    </w:p>
    <w:p w:rsidR="004231A6" w:rsidRPr="004231A6" w:rsidRDefault="004231A6" w:rsidP="004231A6">
      <w:pPr>
        <w:spacing w:after="0"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03 February 2014</w:t>
      </w:r>
    </w:p>
    <w:p w:rsidR="004231A6" w:rsidRPr="004231A6" w:rsidRDefault="004231A6" w:rsidP="004231A6">
      <w:pPr>
        <w:spacing w:after="0"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xml:space="preserve">3 February 2014 </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4231A6">
        <w:rPr>
          <w:rFonts w:ascii="Times New Roman" w:eastAsia="Times New Roman" w:hAnsi="Times New Roman" w:cs="Times New Roman"/>
          <w:sz w:val="24"/>
          <w:szCs w:val="24"/>
          <w:lang w:val="en" w:eastAsia="en-GB"/>
        </w:rPr>
        <w:t>Michelmersh</w:t>
      </w:r>
      <w:proofErr w:type="spellEnd"/>
      <w:r w:rsidRPr="004231A6">
        <w:rPr>
          <w:rFonts w:ascii="Times New Roman" w:eastAsia="Times New Roman" w:hAnsi="Times New Roman" w:cs="Times New Roman"/>
          <w:sz w:val="24"/>
          <w:szCs w:val="24"/>
          <w:lang w:val="en" w:eastAsia="en-GB"/>
        </w:rPr>
        <w:t xml:space="preserve"> Brick Holdings Plc</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("MBH" or the "Group")</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b/>
          <w:sz w:val="24"/>
          <w:szCs w:val="24"/>
          <w:lang w:val="en" w:eastAsia="en-GB"/>
        </w:rPr>
      </w:pPr>
      <w:bookmarkStart w:id="0" w:name="_GoBack"/>
      <w:r w:rsidRPr="004231A6">
        <w:rPr>
          <w:rFonts w:ascii="Times New Roman" w:eastAsia="Times New Roman" w:hAnsi="Times New Roman" w:cs="Times New Roman"/>
          <w:b/>
          <w:sz w:val="24"/>
          <w:szCs w:val="24"/>
          <w:lang w:val="en" w:eastAsia="en-GB"/>
        </w:rPr>
        <w:t>Pre-close Trading Update</w:t>
      </w:r>
    </w:p>
    <w:bookmarkEnd w:id="0"/>
    <w:p w:rsidR="004231A6" w:rsidRPr="004231A6" w:rsidRDefault="004231A6" w:rsidP="004231A6">
      <w:pPr>
        <w:spacing w:before="100" w:beforeAutospacing="1" w:after="100" w:afterAutospacing="1" w:line="240" w:lineRule="auto"/>
        <w:rPr>
          <w:rFonts w:ascii="Times New Roman" w:eastAsia="Times New Roman" w:hAnsi="Times New Roman" w:cs="Times New Roman"/>
          <w:b/>
          <w:sz w:val="24"/>
          <w:szCs w:val="24"/>
          <w:lang w:val="en" w:eastAsia="en-GB"/>
        </w:rPr>
      </w:pPr>
      <w:r w:rsidRPr="004231A6">
        <w:rPr>
          <w:rFonts w:ascii="Times New Roman" w:eastAsia="Times New Roman" w:hAnsi="Times New Roman" w:cs="Times New Roman"/>
          <w:b/>
          <w:sz w:val="24"/>
          <w:szCs w:val="24"/>
          <w:lang w:val="en" w:eastAsia="en-GB"/>
        </w:rPr>
        <w:t>Notice of Results</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4231A6">
        <w:rPr>
          <w:rFonts w:ascii="Times New Roman" w:eastAsia="Times New Roman" w:hAnsi="Times New Roman" w:cs="Times New Roman"/>
          <w:sz w:val="24"/>
          <w:szCs w:val="24"/>
          <w:lang w:val="en" w:eastAsia="en-GB"/>
        </w:rPr>
        <w:t>Michelmersh</w:t>
      </w:r>
      <w:proofErr w:type="spellEnd"/>
      <w:r w:rsidRPr="004231A6">
        <w:rPr>
          <w:rFonts w:ascii="Times New Roman" w:eastAsia="Times New Roman" w:hAnsi="Times New Roman" w:cs="Times New Roman"/>
          <w:sz w:val="24"/>
          <w:szCs w:val="24"/>
          <w:lang w:val="en" w:eastAsia="en-GB"/>
        </w:rPr>
        <w:t xml:space="preserve"> Brick Holdings Plc (AIM: MBH), the specialist brick manufacturer and landfill company, today announces the following trading update ahead of its final results for the year ended 31 December 2013, scheduled for release on Wednesday 26 March 2014.</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xml:space="preserve">The Board is pleased to announce that </w:t>
      </w:r>
      <w:proofErr w:type="spellStart"/>
      <w:r w:rsidRPr="004231A6">
        <w:rPr>
          <w:rFonts w:ascii="Times New Roman" w:eastAsia="Times New Roman" w:hAnsi="Times New Roman" w:cs="Times New Roman"/>
          <w:sz w:val="24"/>
          <w:szCs w:val="24"/>
          <w:lang w:val="en" w:eastAsia="en-GB"/>
        </w:rPr>
        <w:t>Michelmersh</w:t>
      </w:r>
      <w:proofErr w:type="spellEnd"/>
      <w:r w:rsidRPr="004231A6">
        <w:rPr>
          <w:rFonts w:ascii="Times New Roman" w:eastAsia="Times New Roman" w:hAnsi="Times New Roman" w:cs="Times New Roman"/>
          <w:sz w:val="24"/>
          <w:szCs w:val="24"/>
          <w:lang w:val="en" w:eastAsia="en-GB"/>
        </w:rPr>
        <w:t xml:space="preserve"> is expecting to report a profit from continuing activities for the year ended 31 December 2013. The positive financial performance of the Group reflects stronger than anticipated turnover in the final quarter of 2013, ahead of the Board's expectations at the time of the interim statement in September 2013. The result before taxation will include the profit on sale of the factory land at Telford, exceptional non-recurring costs relating to closure of the </w:t>
      </w:r>
      <w:proofErr w:type="spellStart"/>
      <w:r w:rsidRPr="004231A6">
        <w:rPr>
          <w:rFonts w:ascii="Times New Roman" w:eastAsia="Times New Roman" w:hAnsi="Times New Roman" w:cs="Times New Roman"/>
          <w:sz w:val="24"/>
          <w:szCs w:val="24"/>
          <w:lang w:val="en" w:eastAsia="en-GB"/>
        </w:rPr>
        <w:t>Dunton</w:t>
      </w:r>
      <w:proofErr w:type="spellEnd"/>
      <w:r w:rsidRPr="004231A6">
        <w:rPr>
          <w:rFonts w:ascii="Times New Roman" w:eastAsia="Times New Roman" w:hAnsi="Times New Roman" w:cs="Times New Roman"/>
          <w:sz w:val="24"/>
          <w:szCs w:val="24"/>
          <w:lang w:val="en" w:eastAsia="en-GB"/>
        </w:rPr>
        <w:t xml:space="preserve"> plant in the year and associated Group restructuring costs.</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Furthermore, following the successful fundraising of £9.6 million arising out of the placing of 22.5 million ordinary shares in November 2013, the Group will also report significantly reduced net borrowings as at the balance sheet date.</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xml:space="preserve">The Board will be running one-to-one investor briefings during the week of its final results and is available for telephone or face to face interviews with the media on request. </w:t>
      </w:r>
    </w:p>
    <w:tbl>
      <w:tblPr>
        <w:tblW w:w="0" w:type="auto"/>
        <w:tblCellSpacing w:w="0" w:type="dxa"/>
        <w:tblCellMar>
          <w:left w:w="0" w:type="dxa"/>
          <w:right w:w="0" w:type="dxa"/>
        </w:tblCellMar>
        <w:tblLook w:val="04A0" w:firstRow="1" w:lastRow="0" w:firstColumn="1" w:lastColumn="0" w:noHBand="0" w:noVBand="1"/>
      </w:tblPr>
      <w:tblGrid>
        <w:gridCol w:w="6585"/>
        <w:gridCol w:w="1215"/>
        <w:gridCol w:w="1050"/>
        <w:gridCol w:w="135"/>
      </w:tblGrid>
      <w:tr w:rsidR="004231A6" w:rsidRPr="004231A6" w:rsidTr="004231A6">
        <w:trPr>
          <w:tblCellSpacing w:w="0" w:type="dxa"/>
        </w:trPr>
        <w:tc>
          <w:tcPr>
            <w:tcW w:w="6585" w:type="dxa"/>
            <w:hideMark/>
          </w:tcPr>
          <w:p w:rsidR="004231A6" w:rsidRPr="004231A6" w:rsidRDefault="004231A6" w:rsidP="004231A6">
            <w:pPr>
              <w:spacing w:after="0" w:line="240" w:lineRule="auto"/>
              <w:rPr>
                <w:rFonts w:ascii="Times New Roman" w:eastAsia="Times New Roman" w:hAnsi="Times New Roman" w:cs="Times New Roman"/>
                <w:b/>
                <w:sz w:val="24"/>
                <w:szCs w:val="24"/>
                <w:lang w:eastAsia="en-GB"/>
              </w:rPr>
            </w:pPr>
            <w:r w:rsidRPr="004231A6">
              <w:rPr>
                <w:rFonts w:ascii="Times New Roman" w:eastAsia="Times New Roman" w:hAnsi="Times New Roman" w:cs="Times New Roman"/>
                <w:b/>
                <w:sz w:val="24"/>
                <w:szCs w:val="24"/>
                <w:lang w:eastAsia="en-GB"/>
              </w:rPr>
              <w:t>Enquiries:</w:t>
            </w:r>
          </w:p>
          <w:tbl>
            <w:tblPr>
              <w:tblW w:w="0" w:type="auto"/>
              <w:tblCellSpacing w:w="0" w:type="dxa"/>
              <w:tblCellMar>
                <w:left w:w="0" w:type="dxa"/>
                <w:right w:w="0" w:type="dxa"/>
              </w:tblCellMar>
              <w:tblLook w:val="04A0" w:firstRow="1" w:lastRow="0" w:firstColumn="1" w:lastColumn="0" w:noHBand="0" w:noVBand="1"/>
            </w:tblPr>
            <w:tblGrid>
              <w:gridCol w:w="4740"/>
              <w:gridCol w:w="1545"/>
            </w:tblGrid>
            <w:tr w:rsidR="004231A6" w:rsidRPr="004231A6">
              <w:trPr>
                <w:tblCellSpacing w:w="0" w:type="dxa"/>
              </w:trPr>
              <w:tc>
                <w:tcPr>
                  <w:tcW w:w="4740"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roofErr w:type="spellStart"/>
                  <w:r w:rsidRPr="004231A6">
                    <w:rPr>
                      <w:rFonts w:ascii="Times New Roman" w:eastAsia="Times New Roman" w:hAnsi="Times New Roman" w:cs="Times New Roman"/>
                      <w:sz w:val="24"/>
                      <w:szCs w:val="24"/>
                      <w:lang w:eastAsia="en-GB"/>
                    </w:rPr>
                    <w:t>Michelmersh</w:t>
                  </w:r>
                  <w:proofErr w:type="spellEnd"/>
                  <w:r w:rsidRPr="004231A6">
                    <w:rPr>
                      <w:rFonts w:ascii="Times New Roman" w:eastAsia="Times New Roman" w:hAnsi="Times New Roman" w:cs="Times New Roman"/>
                      <w:sz w:val="24"/>
                      <w:szCs w:val="24"/>
                      <w:lang w:eastAsia="en-GB"/>
                    </w:rPr>
                    <w:t xml:space="preserve"> Brick Holdings</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Martin Warner, CEO</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Stephen Morgan, Finance Director</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tc>
              <w:tc>
                <w:tcPr>
                  <w:tcW w:w="154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01442 870227</w:t>
                  </w:r>
                </w:p>
              </w:tc>
            </w:tr>
            <w:tr w:rsidR="004231A6" w:rsidRPr="004231A6">
              <w:trPr>
                <w:tblCellSpacing w:w="0" w:type="dxa"/>
              </w:trPr>
              <w:tc>
                <w:tcPr>
                  <w:tcW w:w="4740"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roofErr w:type="spellStart"/>
                  <w:r w:rsidRPr="004231A6">
                    <w:rPr>
                      <w:rFonts w:ascii="Times New Roman" w:eastAsia="Times New Roman" w:hAnsi="Times New Roman" w:cs="Times New Roman"/>
                      <w:sz w:val="24"/>
                      <w:szCs w:val="24"/>
                      <w:lang w:eastAsia="en-GB"/>
                    </w:rPr>
                    <w:t>Cenkos</w:t>
                  </w:r>
                  <w:proofErr w:type="spellEnd"/>
                  <w:r w:rsidRPr="004231A6">
                    <w:rPr>
                      <w:rFonts w:ascii="Times New Roman" w:eastAsia="Times New Roman" w:hAnsi="Times New Roman" w:cs="Times New Roman"/>
                      <w:sz w:val="24"/>
                      <w:szCs w:val="24"/>
                      <w:lang w:eastAsia="en-GB"/>
                    </w:rPr>
                    <w:t xml:space="preserve"> Securities plc</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Bobbie </w:t>
                  </w:r>
                  <w:proofErr w:type="spellStart"/>
                  <w:r w:rsidRPr="004231A6">
                    <w:rPr>
                      <w:rFonts w:ascii="Times New Roman" w:eastAsia="Times New Roman" w:hAnsi="Times New Roman" w:cs="Times New Roman"/>
                      <w:sz w:val="24"/>
                      <w:szCs w:val="24"/>
                      <w:lang w:eastAsia="en-GB"/>
                    </w:rPr>
                    <w:t>Hilliam</w:t>
                  </w:r>
                  <w:proofErr w:type="spellEnd"/>
                  <w:r w:rsidRPr="004231A6">
                    <w:rPr>
                      <w:rFonts w:ascii="Times New Roman" w:eastAsia="Times New Roman" w:hAnsi="Times New Roman" w:cs="Times New Roman"/>
                      <w:sz w:val="24"/>
                      <w:szCs w:val="24"/>
                      <w:lang w:eastAsia="en-GB"/>
                    </w:rPr>
                    <w:t xml:space="preserve"> (NOMAD)</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Harry </w:t>
                  </w:r>
                  <w:proofErr w:type="spellStart"/>
                  <w:r w:rsidRPr="004231A6">
                    <w:rPr>
                      <w:rFonts w:ascii="Times New Roman" w:eastAsia="Times New Roman" w:hAnsi="Times New Roman" w:cs="Times New Roman"/>
                      <w:sz w:val="24"/>
                      <w:szCs w:val="24"/>
                      <w:lang w:eastAsia="en-GB"/>
                    </w:rPr>
                    <w:t>Pardoe</w:t>
                  </w:r>
                  <w:proofErr w:type="spellEnd"/>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Alex </w:t>
                  </w:r>
                  <w:proofErr w:type="spellStart"/>
                  <w:r w:rsidRPr="004231A6">
                    <w:rPr>
                      <w:rFonts w:ascii="Times New Roman" w:eastAsia="Times New Roman" w:hAnsi="Times New Roman" w:cs="Times New Roman"/>
                      <w:sz w:val="24"/>
                      <w:szCs w:val="24"/>
                      <w:lang w:eastAsia="en-GB"/>
                    </w:rPr>
                    <w:t>Aylen</w:t>
                  </w:r>
                  <w:proofErr w:type="spellEnd"/>
                  <w:r w:rsidRPr="004231A6">
                    <w:rPr>
                      <w:rFonts w:ascii="Times New Roman" w:eastAsia="Times New Roman" w:hAnsi="Times New Roman" w:cs="Times New Roman"/>
                      <w:sz w:val="24"/>
                      <w:szCs w:val="24"/>
                      <w:lang w:eastAsia="en-GB"/>
                    </w:rPr>
                    <w:t xml:space="preserve"> (Sales)</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tc>
              <w:tc>
                <w:tcPr>
                  <w:tcW w:w="154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020 7397 8900</w:t>
                  </w:r>
                </w:p>
              </w:tc>
            </w:tr>
            <w:tr w:rsidR="004231A6" w:rsidRPr="004231A6">
              <w:trPr>
                <w:tblCellSpacing w:w="0" w:type="dxa"/>
              </w:trPr>
              <w:tc>
                <w:tcPr>
                  <w:tcW w:w="4740"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Yellow Jersey PR </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Dominic </w:t>
                  </w:r>
                  <w:proofErr w:type="spellStart"/>
                  <w:r w:rsidRPr="004231A6">
                    <w:rPr>
                      <w:rFonts w:ascii="Times New Roman" w:eastAsia="Times New Roman" w:hAnsi="Times New Roman" w:cs="Times New Roman"/>
                      <w:sz w:val="24"/>
                      <w:szCs w:val="24"/>
                      <w:lang w:eastAsia="en-GB"/>
                    </w:rPr>
                    <w:t>Barretto</w:t>
                  </w:r>
                  <w:proofErr w:type="spellEnd"/>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xml:space="preserve">Kelsey </w:t>
                  </w:r>
                  <w:proofErr w:type="spellStart"/>
                  <w:r w:rsidRPr="004231A6">
                    <w:rPr>
                      <w:rFonts w:ascii="Times New Roman" w:eastAsia="Times New Roman" w:hAnsi="Times New Roman" w:cs="Times New Roman"/>
                      <w:sz w:val="24"/>
                      <w:szCs w:val="24"/>
                      <w:lang w:eastAsia="en-GB"/>
                    </w:rPr>
                    <w:t>Traynor</w:t>
                  </w:r>
                  <w:proofErr w:type="spellEnd"/>
                </w:p>
              </w:tc>
              <w:tc>
                <w:tcPr>
                  <w:tcW w:w="154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07768 537 739</w:t>
                  </w:r>
                </w:p>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07799 003 220</w:t>
                  </w:r>
                </w:p>
              </w:tc>
            </w:tr>
          </w:tbl>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121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1185" w:type="dxa"/>
            <w:gridSpan w:val="2"/>
            <w:vAlign w:val="center"/>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tc>
      </w:tr>
      <w:tr w:rsidR="004231A6" w:rsidRPr="004231A6" w:rsidTr="004231A6">
        <w:trPr>
          <w:tblCellSpacing w:w="0" w:type="dxa"/>
        </w:trPr>
        <w:tc>
          <w:tcPr>
            <w:tcW w:w="658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2400" w:type="dxa"/>
            <w:gridSpan w:val="3"/>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r>
      <w:tr w:rsidR="004231A6" w:rsidRPr="004231A6" w:rsidTr="004231A6">
        <w:trPr>
          <w:tblCellSpacing w:w="0" w:type="dxa"/>
        </w:trPr>
        <w:tc>
          <w:tcPr>
            <w:tcW w:w="658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2265" w:type="dxa"/>
            <w:gridSpan w:val="2"/>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135" w:type="dxa"/>
            <w:vAlign w:val="center"/>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tc>
      </w:tr>
      <w:tr w:rsidR="004231A6" w:rsidRPr="004231A6" w:rsidTr="004231A6">
        <w:trPr>
          <w:tblCellSpacing w:w="0" w:type="dxa"/>
        </w:trPr>
        <w:tc>
          <w:tcPr>
            <w:tcW w:w="6585" w:type="dxa"/>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2265" w:type="dxa"/>
            <w:gridSpan w:val="2"/>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p>
        </w:tc>
        <w:tc>
          <w:tcPr>
            <w:tcW w:w="135" w:type="dxa"/>
            <w:vAlign w:val="center"/>
            <w:hideMark/>
          </w:tcPr>
          <w:p w:rsidR="004231A6" w:rsidRPr="004231A6" w:rsidRDefault="004231A6" w:rsidP="004231A6">
            <w:pPr>
              <w:spacing w:after="0" w:line="240" w:lineRule="auto"/>
              <w:rPr>
                <w:rFonts w:ascii="Times New Roman" w:eastAsia="Times New Roman" w:hAnsi="Times New Roman" w:cs="Times New Roman"/>
                <w:sz w:val="24"/>
                <w:szCs w:val="24"/>
                <w:lang w:eastAsia="en-GB"/>
              </w:rPr>
            </w:pPr>
            <w:r w:rsidRPr="004231A6">
              <w:rPr>
                <w:rFonts w:ascii="Times New Roman" w:eastAsia="Times New Roman" w:hAnsi="Times New Roman" w:cs="Times New Roman"/>
                <w:sz w:val="24"/>
                <w:szCs w:val="24"/>
                <w:lang w:eastAsia="en-GB"/>
              </w:rPr>
              <w:t> </w:t>
            </w:r>
          </w:p>
        </w:tc>
      </w:tr>
      <w:tr w:rsidR="004231A6" w:rsidRPr="004231A6" w:rsidTr="004231A6">
        <w:trPr>
          <w:tblCellSpacing w:w="0" w:type="dxa"/>
        </w:trPr>
        <w:tc>
          <w:tcPr>
            <w:tcW w:w="6585" w:type="dxa"/>
            <w:vAlign w:val="center"/>
            <w:hideMark/>
          </w:tcPr>
          <w:p w:rsidR="004231A6" w:rsidRPr="004231A6" w:rsidRDefault="004231A6" w:rsidP="004231A6">
            <w:pPr>
              <w:spacing w:after="0" w:line="240" w:lineRule="auto"/>
              <w:rPr>
                <w:rFonts w:ascii="Times New Roman" w:eastAsia="Times New Roman" w:hAnsi="Times New Roman" w:cs="Times New Roman"/>
                <w:sz w:val="1"/>
                <w:szCs w:val="24"/>
                <w:lang w:eastAsia="en-GB"/>
              </w:rPr>
            </w:pPr>
          </w:p>
        </w:tc>
        <w:tc>
          <w:tcPr>
            <w:tcW w:w="1215" w:type="dxa"/>
            <w:vAlign w:val="center"/>
            <w:hideMark/>
          </w:tcPr>
          <w:p w:rsidR="004231A6" w:rsidRPr="004231A6" w:rsidRDefault="004231A6" w:rsidP="004231A6">
            <w:pPr>
              <w:spacing w:after="0" w:line="240" w:lineRule="auto"/>
              <w:rPr>
                <w:rFonts w:ascii="Times New Roman" w:eastAsia="Times New Roman" w:hAnsi="Times New Roman" w:cs="Times New Roman"/>
                <w:sz w:val="1"/>
                <w:szCs w:val="24"/>
                <w:lang w:eastAsia="en-GB"/>
              </w:rPr>
            </w:pPr>
          </w:p>
        </w:tc>
        <w:tc>
          <w:tcPr>
            <w:tcW w:w="1050" w:type="dxa"/>
            <w:vAlign w:val="center"/>
            <w:hideMark/>
          </w:tcPr>
          <w:p w:rsidR="004231A6" w:rsidRPr="004231A6" w:rsidRDefault="004231A6" w:rsidP="004231A6">
            <w:pPr>
              <w:spacing w:after="0" w:line="240" w:lineRule="auto"/>
              <w:rPr>
                <w:rFonts w:ascii="Times New Roman" w:eastAsia="Times New Roman" w:hAnsi="Times New Roman" w:cs="Times New Roman"/>
                <w:sz w:val="1"/>
                <w:szCs w:val="24"/>
                <w:lang w:eastAsia="en-GB"/>
              </w:rPr>
            </w:pPr>
          </w:p>
        </w:tc>
        <w:tc>
          <w:tcPr>
            <w:tcW w:w="135" w:type="dxa"/>
            <w:vAlign w:val="center"/>
            <w:hideMark/>
          </w:tcPr>
          <w:p w:rsidR="004231A6" w:rsidRPr="004231A6" w:rsidRDefault="004231A6" w:rsidP="004231A6">
            <w:pPr>
              <w:spacing w:after="0" w:line="240" w:lineRule="auto"/>
              <w:rPr>
                <w:rFonts w:ascii="Times New Roman" w:eastAsia="Times New Roman" w:hAnsi="Times New Roman" w:cs="Times New Roman"/>
                <w:sz w:val="1"/>
                <w:szCs w:val="24"/>
                <w:lang w:eastAsia="en-GB"/>
              </w:rPr>
            </w:pPr>
          </w:p>
        </w:tc>
      </w:tr>
    </w:tbl>
    <w:p w:rsidR="004231A6" w:rsidRPr="004231A6" w:rsidRDefault="004231A6" w:rsidP="004231A6">
      <w:pPr>
        <w:spacing w:after="0"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xml:space="preserve">Further information on the Company can be found at </w:t>
      </w:r>
      <w:hyperlink r:id="rId5" w:history="1">
        <w:r w:rsidRPr="004231A6">
          <w:rPr>
            <w:rFonts w:ascii="Times New Roman" w:eastAsia="Times New Roman" w:hAnsi="Times New Roman" w:cs="Times New Roman"/>
            <w:color w:val="0000FF"/>
            <w:sz w:val="24"/>
            <w:szCs w:val="24"/>
            <w:u w:val="single"/>
            <w:lang w:val="en" w:eastAsia="en-GB"/>
          </w:rPr>
          <w:t>www.mbhplc.co.uk</w:t>
        </w:r>
      </w:hyperlink>
      <w:r w:rsidRPr="004231A6">
        <w:rPr>
          <w:rFonts w:ascii="Times New Roman" w:eastAsia="Times New Roman" w:hAnsi="Times New Roman" w:cs="Times New Roman"/>
          <w:sz w:val="24"/>
          <w:szCs w:val="24"/>
          <w:lang w:val="en" w:eastAsia="en-GB"/>
        </w:rPr>
        <w:t> </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lastRenderedPageBreak/>
        <w:t> </w:t>
      </w:r>
    </w:p>
    <w:p w:rsidR="004231A6" w:rsidRPr="004231A6" w:rsidRDefault="004231A6" w:rsidP="004231A6">
      <w:pPr>
        <w:spacing w:before="100" w:beforeAutospacing="1" w:after="100" w:afterAutospacing="1" w:line="240" w:lineRule="auto"/>
        <w:rPr>
          <w:rFonts w:ascii="Times New Roman" w:eastAsia="Times New Roman" w:hAnsi="Times New Roman" w:cs="Times New Roman"/>
          <w:sz w:val="24"/>
          <w:szCs w:val="24"/>
          <w:lang w:val="en" w:eastAsia="en-GB"/>
        </w:rPr>
      </w:pPr>
      <w:r w:rsidRPr="004231A6">
        <w:rPr>
          <w:rFonts w:ascii="Times New Roman" w:eastAsia="Times New Roman" w:hAnsi="Times New Roman" w:cs="Times New Roman"/>
          <w:sz w:val="24"/>
          <w:szCs w:val="24"/>
          <w:lang w:val="en" w:eastAsia="en-GB"/>
        </w:rPr>
        <w:t> </w:t>
      </w:r>
    </w:p>
    <w:p w:rsidR="00C55D58" w:rsidRDefault="004231A6"/>
    <w:sectPr w:rsidR="00C55D58" w:rsidSect="004231A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A6"/>
    <w:rsid w:val="002526D5"/>
    <w:rsid w:val="004231A6"/>
    <w:rsid w:val="00C5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1A6"/>
    <w:rPr>
      <w:color w:val="0000FF"/>
      <w:u w:val="single"/>
    </w:rPr>
  </w:style>
  <w:style w:type="paragraph" w:styleId="NormalWeb">
    <w:name w:val="Normal (Web)"/>
    <w:basedOn w:val="Normal"/>
    <w:uiPriority w:val="99"/>
    <w:semiHidden/>
    <w:unhideWhenUsed/>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
    <w:name w:val="br"/>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p">
    <w:name w:val="bp"/>
    <w:basedOn w:val="DefaultParagraphFont"/>
    <w:rsid w:val="004231A6"/>
  </w:style>
  <w:style w:type="paragraph" w:customStyle="1" w:styleId="bs">
    <w:name w:val="bs"/>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
    <w:name w:val="bt"/>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4231A6"/>
  </w:style>
  <w:style w:type="paragraph" w:customStyle="1" w:styleId="bu">
    <w:name w:val="bu"/>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w">
    <w:name w:val="bw"/>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x">
    <w:name w:val="bx"/>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y">
    <w:name w:val="ay"/>
    <w:basedOn w:val="DefaultParagraphFont"/>
    <w:rsid w:val="004231A6"/>
  </w:style>
  <w:style w:type="character" w:customStyle="1" w:styleId="aw">
    <w:name w:val="aw"/>
    <w:basedOn w:val="DefaultParagraphFont"/>
    <w:rsid w:val="004231A6"/>
  </w:style>
  <w:style w:type="character" w:customStyle="1" w:styleId="av">
    <w:name w:val="av"/>
    <w:basedOn w:val="DefaultParagraphFont"/>
    <w:rsid w:val="0042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1A6"/>
    <w:rPr>
      <w:color w:val="0000FF"/>
      <w:u w:val="single"/>
    </w:rPr>
  </w:style>
  <w:style w:type="paragraph" w:styleId="NormalWeb">
    <w:name w:val="Normal (Web)"/>
    <w:basedOn w:val="Normal"/>
    <w:uiPriority w:val="99"/>
    <w:semiHidden/>
    <w:unhideWhenUsed/>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
    <w:name w:val="br"/>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p">
    <w:name w:val="bp"/>
    <w:basedOn w:val="DefaultParagraphFont"/>
    <w:rsid w:val="004231A6"/>
  </w:style>
  <w:style w:type="paragraph" w:customStyle="1" w:styleId="bs">
    <w:name w:val="bs"/>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
    <w:name w:val="bt"/>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4231A6"/>
  </w:style>
  <w:style w:type="paragraph" w:customStyle="1" w:styleId="bu">
    <w:name w:val="bu"/>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w">
    <w:name w:val="bw"/>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x">
    <w:name w:val="bx"/>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42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y">
    <w:name w:val="ay"/>
    <w:basedOn w:val="DefaultParagraphFont"/>
    <w:rsid w:val="004231A6"/>
  </w:style>
  <w:style w:type="character" w:customStyle="1" w:styleId="aw">
    <w:name w:val="aw"/>
    <w:basedOn w:val="DefaultParagraphFont"/>
    <w:rsid w:val="004231A6"/>
  </w:style>
  <w:style w:type="character" w:customStyle="1" w:styleId="av">
    <w:name w:val="av"/>
    <w:basedOn w:val="DefaultParagraphFont"/>
    <w:rsid w:val="0042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7620">
      <w:bodyDiv w:val="1"/>
      <w:marLeft w:val="0"/>
      <w:marRight w:val="0"/>
      <w:marTop w:val="0"/>
      <w:marBottom w:val="0"/>
      <w:divBdr>
        <w:top w:val="none" w:sz="0" w:space="0" w:color="auto"/>
        <w:left w:val="none" w:sz="0" w:space="0" w:color="auto"/>
        <w:bottom w:val="none" w:sz="0" w:space="0" w:color="auto"/>
        <w:right w:val="none" w:sz="0" w:space="0" w:color="auto"/>
      </w:divBdr>
      <w:divsChild>
        <w:div w:id="2096896258">
          <w:marLeft w:val="0"/>
          <w:marRight w:val="0"/>
          <w:marTop w:val="0"/>
          <w:marBottom w:val="0"/>
          <w:divBdr>
            <w:top w:val="none" w:sz="0" w:space="0" w:color="auto"/>
            <w:left w:val="none" w:sz="0" w:space="0" w:color="auto"/>
            <w:bottom w:val="none" w:sz="0" w:space="0" w:color="auto"/>
            <w:right w:val="none" w:sz="0" w:space="0" w:color="auto"/>
          </w:divBdr>
          <w:divsChild>
            <w:div w:id="735980729">
              <w:marLeft w:val="0"/>
              <w:marRight w:val="0"/>
              <w:marTop w:val="0"/>
              <w:marBottom w:val="0"/>
              <w:divBdr>
                <w:top w:val="none" w:sz="0" w:space="0" w:color="auto"/>
                <w:left w:val="none" w:sz="0" w:space="0" w:color="auto"/>
                <w:bottom w:val="none" w:sz="0" w:space="0" w:color="auto"/>
                <w:right w:val="none" w:sz="0" w:space="0" w:color="auto"/>
              </w:divBdr>
            </w:div>
            <w:div w:id="1261723636">
              <w:marLeft w:val="0"/>
              <w:marRight w:val="0"/>
              <w:marTop w:val="0"/>
              <w:marBottom w:val="0"/>
              <w:divBdr>
                <w:top w:val="none" w:sz="0" w:space="0" w:color="auto"/>
                <w:left w:val="none" w:sz="0" w:space="0" w:color="auto"/>
                <w:bottom w:val="none" w:sz="0" w:space="0" w:color="auto"/>
                <w:right w:val="none" w:sz="0" w:space="0" w:color="auto"/>
              </w:divBdr>
            </w:div>
            <w:div w:id="716248440">
              <w:marLeft w:val="0"/>
              <w:marRight w:val="0"/>
              <w:marTop w:val="0"/>
              <w:marBottom w:val="0"/>
              <w:divBdr>
                <w:top w:val="none" w:sz="0" w:space="0" w:color="auto"/>
                <w:left w:val="none" w:sz="0" w:space="0" w:color="auto"/>
                <w:bottom w:val="none" w:sz="0" w:space="0" w:color="auto"/>
                <w:right w:val="none" w:sz="0" w:space="0" w:color="auto"/>
              </w:divBdr>
            </w:div>
            <w:div w:id="951088721">
              <w:marLeft w:val="0"/>
              <w:marRight w:val="0"/>
              <w:marTop w:val="0"/>
              <w:marBottom w:val="0"/>
              <w:divBdr>
                <w:top w:val="none" w:sz="0" w:space="0" w:color="auto"/>
                <w:left w:val="none" w:sz="0" w:space="0" w:color="auto"/>
                <w:bottom w:val="none" w:sz="0" w:space="0" w:color="auto"/>
                <w:right w:val="none" w:sz="0" w:space="0" w:color="auto"/>
              </w:divBdr>
            </w:div>
            <w:div w:id="885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hpl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Morgan</dc:creator>
  <cp:lastModifiedBy>Stephen Morgan</cp:lastModifiedBy>
  <cp:revision>1</cp:revision>
  <dcterms:created xsi:type="dcterms:W3CDTF">2014-02-03T07:47:00Z</dcterms:created>
  <dcterms:modified xsi:type="dcterms:W3CDTF">2014-02-03T07:51:00Z</dcterms:modified>
</cp:coreProperties>
</file>