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3DC" w:rsidRPr="0011641F" w:rsidRDefault="00BB48B5" w:rsidP="00A50DD0">
      <w:pPr>
        <w:spacing w:line="276" w:lineRule="auto"/>
        <w:jc w:val="left"/>
        <w:rPr>
          <w:rFonts w:ascii="Arial" w:hAnsi="Arial" w:cs="Arial"/>
          <w:color w:val="000000"/>
          <w:sz w:val="20"/>
          <w:szCs w:val="20"/>
        </w:rPr>
      </w:pPr>
      <w:r>
        <w:rPr>
          <w:noProof/>
          <w:lang w:eastAsia="en-GB"/>
        </w:rPr>
        <w:drawing>
          <wp:anchor distT="0" distB="0" distL="114300" distR="114300" simplePos="0" relativeHeight="251657728" behindDoc="0" locked="0" layoutInCell="1" allowOverlap="1" wp14:anchorId="450C623C" wp14:editId="0721808D">
            <wp:simplePos x="0" y="0"/>
            <wp:positionH relativeFrom="column">
              <wp:posOffset>4682490</wp:posOffset>
            </wp:positionH>
            <wp:positionV relativeFrom="paragraph">
              <wp:posOffset>-227965</wp:posOffset>
            </wp:positionV>
            <wp:extent cx="1459230" cy="601980"/>
            <wp:effectExtent l="0" t="0" r="7620" b="7620"/>
            <wp:wrapNone/>
            <wp:docPr id="2" name="Picture 0" descr="Michelmersh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ichelmersh ne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9230" cy="601980"/>
                    </a:xfrm>
                    <a:prstGeom prst="rect">
                      <a:avLst/>
                    </a:prstGeom>
                    <a:noFill/>
                  </pic:spPr>
                </pic:pic>
              </a:graphicData>
            </a:graphic>
          </wp:anchor>
        </w:drawing>
      </w:r>
    </w:p>
    <w:p w:rsidR="008B63DC" w:rsidRPr="0011641F" w:rsidRDefault="008B63DC" w:rsidP="00A50DD0">
      <w:pPr>
        <w:spacing w:line="276" w:lineRule="auto"/>
        <w:jc w:val="center"/>
        <w:rPr>
          <w:rFonts w:ascii="Arial" w:hAnsi="Arial" w:cs="Arial"/>
          <w:b/>
          <w:bCs/>
          <w:color w:val="000000"/>
          <w:sz w:val="20"/>
          <w:szCs w:val="20"/>
        </w:rPr>
      </w:pPr>
    </w:p>
    <w:p w:rsidR="008B63DC" w:rsidRPr="0011641F" w:rsidRDefault="008B63DC" w:rsidP="00A50DD0">
      <w:pPr>
        <w:spacing w:line="276" w:lineRule="auto"/>
        <w:jc w:val="center"/>
        <w:rPr>
          <w:rFonts w:ascii="Arial" w:hAnsi="Arial" w:cs="Arial"/>
          <w:b/>
          <w:bCs/>
          <w:color w:val="000000"/>
          <w:sz w:val="20"/>
          <w:szCs w:val="20"/>
        </w:rPr>
      </w:pPr>
    </w:p>
    <w:p w:rsidR="008B63DC" w:rsidRPr="0011641F" w:rsidRDefault="008B63DC" w:rsidP="00A50DD0">
      <w:pPr>
        <w:spacing w:line="276" w:lineRule="auto"/>
        <w:jc w:val="center"/>
        <w:rPr>
          <w:rFonts w:ascii="Arial" w:hAnsi="Arial" w:cs="Arial"/>
          <w:b/>
          <w:bCs/>
          <w:color w:val="000000"/>
          <w:sz w:val="20"/>
          <w:szCs w:val="20"/>
        </w:rPr>
      </w:pPr>
    </w:p>
    <w:p w:rsidR="0027081E" w:rsidRPr="00074AA5" w:rsidRDefault="004C12B8" w:rsidP="0027081E">
      <w:pPr>
        <w:pStyle w:val="NoSpacing"/>
        <w:jc w:val="right"/>
        <w:rPr>
          <w:b/>
        </w:rPr>
      </w:pPr>
      <w:r w:rsidRPr="00074AA5">
        <w:rPr>
          <w:b/>
        </w:rPr>
        <w:t>23 March 2015</w:t>
      </w:r>
    </w:p>
    <w:p w:rsidR="0027081E" w:rsidRPr="00074AA5" w:rsidRDefault="0027081E" w:rsidP="0027081E">
      <w:pPr>
        <w:pStyle w:val="NoSpacing"/>
        <w:rPr>
          <w:b/>
        </w:rPr>
      </w:pPr>
    </w:p>
    <w:p w:rsidR="00074AA5" w:rsidRPr="00074AA5" w:rsidRDefault="00074AA5" w:rsidP="00074AA5">
      <w:pPr>
        <w:jc w:val="center"/>
        <w:rPr>
          <w:rFonts w:asciiTheme="minorHAnsi" w:hAnsiTheme="minorHAnsi"/>
          <w:b/>
        </w:rPr>
      </w:pPr>
      <w:r w:rsidRPr="00074AA5">
        <w:rPr>
          <w:rFonts w:asciiTheme="minorHAnsi" w:hAnsiTheme="minorHAnsi"/>
          <w:b/>
        </w:rPr>
        <w:t>Michelmersh Brick Holdings Plc</w:t>
      </w:r>
    </w:p>
    <w:p w:rsidR="00074AA5" w:rsidRPr="00074AA5" w:rsidRDefault="00074AA5" w:rsidP="00074AA5">
      <w:pPr>
        <w:jc w:val="center"/>
        <w:rPr>
          <w:rFonts w:asciiTheme="minorHAnsi" w:hAnsiTheme="minorHAnsi"/>
          <w:b/>
        </w:rPr>
      </w:pPr>
      <w:r w:rsidRPr="00074AA5">
        <w:rPr>
          <w:rFonts w:asciiTheme="minorHAnsi" w:hAnsiTheme="minorHAnsi"/>
          <w:b/>
        </w:rPr>
        <w:t>(“MBH” or the “Group”)</w:t>
      </w:r>
    </w:p>
    <w:p w:rsidR="00074AA5" w:rsidRPr="00074AA5" w:rsidRDefault="00074AA5" w:rsidP="00074AA5">
      <w:pPr>
        <w:jc w:val="center"/>
        <w:rPr>
          <w:rFonts w:asciiTheme="minorHAnsi" w:hAnsiTheme="minorHAnsi"/>
          <w:b/>
        </w:rPr>
      </w:pPr>
    </w:p>
    <w:p w:rsidR="00074AA5" w:rsidRPr="00074AA5" w:rsidRDefault="00074AA5" w:rsidP="00074AA5">
      <w:pPr>
        <w:jc w:val="center"/>
        <w:rPr>
          <w:rFonts w:asciiTheme="minorHAnsi" w:hAnsiTheme="minorHAnsi"/>
          <w:b/>
        </w:rPr>
      </w:pPr>
      <w:r w:rsidRPr="00074AA5">
        <w:rPr>
          <w:rFonts w:asciiTheme="minorHAnsi" w:hAnsiTheme="minorHAnsi"/>
          <w:b/>
        </w:rPr>
        <w:t>FINAL RESULTS</w:t>
      </w:r>
    </w:p>
    <w:p w:rsidR="00074AA5" w:rsidRPr="00074AA5" w:rsidRDefault="00074AA5" w:rsidP="00074AA5">
      <w:pPr>
        <w:jc w:val="center"/>
        <w:rPr>
          <w:rFonts w:asciiTheme="minorHAnsi" w:hAnsiTheme="minorHAnsi"/>
          <w:b/>
        </w:rPr>
      </w:pPr>
      <w:r w:rsidRPr="00074AA5">
        <w:rPr>
          <w:rFonts w:asciiTheme="minorHAnsi" w:hAnsiTheme="minorHAnsi"/>
          <w:b/>
        </w:rPr>
        <w:t xml:space="preserve">Improved trading, reduced borrowings, </w:t>
      </w:r>
    </w:p>
    <w:p w:rsidR="00074AA5" w:rsidRPr="00074AA5" w:rsidRDefault="00074AA5" w:rsidP="00074AA5">
      <w:pPr>
        <w:jc w:val="center"/>
        <w:rPr>
          <w:rFonts w:asciiTheme="minorHAnsi" w:hAnsiTheme="minorHAnsi"/>
          <w:b/>
        </w:rPr>
      </w:pPr>
      <w:proofErr w:type="gramStart"/>
      <w:r w:rsidRPr="00074AA5">
        <w:rPr>
          <w:rFonts w:asciiTheme="minorHAnsi" w:hAnsiTheme="minorHAnsi"/>
          <w:b/>
        </w:rPr>
        <w:t>and</w:t>
      </w:r>
      <w:proofErr w:type="gramEnd"/>
      <w:r w:rsidRPr="00074AA5">
        <w:rPr>
          <w:rFonts w:asciiTheme="minorHAnsi" w:hAnsiTheme="minorHAnsi"/>
          <w:b/>
        </w:rPr>
        <w:t xml:space="preserve"> dividend reinstated </w:t>
      </w:r>
    </w:p>
    <w:p w:rsidR="00074AA5" w:rsidRPr="00074AA5" w:rsidRDefault="00074AA5" w:rsidP="00074AA5">
      <w:pPr>
        <w:jc w:val="center"/>
        <w:rPr>
          <w:rFonts w:asciiTheme="minorHAnsi" w:hAnsiTheme="minorHAnsi"/>
          <w:b/>
        </w:rPr>
      </w:pPr>
    </w:p>
    <w:p w:rsidR="00074AA5" w:rsidRPr="00074AA5" w:rsidRDefault="00074AA5" w:rsidP="00074AA5">
      <w:pPr>
        <w:rPr>
          <w:rFonts w:asciiTheme="minorHAnsi" w:hAnsiTheme="minorHAnsi"/>
        </w:rPr>
      </w:pPr>
      <w:r w:rsidRPr="00074AA5">
        <w:rPr>
          <w:rFonts w:asciiTheme="minorHAnsi" w:hAnsiTheme="minorHAnsi"/>
        </w:rPr>
        <w:t xml:space="preserve">Michelmersh Brick Holdings (AIM:MBH) , the specialist brick manufacturer and landfill company, is pleased to report its audited final results for the year ended 31 December 2014, reflecting another positive period for the Group as the industry continues to progress. </w:t>
      </w:r>
    </w:p>
    <w:p w:rsidR="00074AA5" w:rsidRPr="00074AA5" w:rsidRDefault="00074AA5" w:rsidP="00074AA5">
      <w:pPr>
        <w:rPr>
          <w:rFonts w:asciiTheme="minorHAnsi" w:hAnsiTheme="minorHAnsi"/>
          <w:b/>
          <w:u w:val="single"/>
        </w:rPr>
      </w:pPr>
    </w:p>
    <w:p w:rsidR="00074AA5" w:rsidRPr="00074AA5" w:rsidRDefault="00074AA5" w:rsidP="00074AA5">
      <w:pPr>
        <w:rPr>
          <w:rFonts w:asciiTheme="minorHAnsi" w:hAnsiTheme="minorHAnsi"/>
          <w:b/>
          <w:u w:val="single"/>
        </w:rPr>
      </w:pPr>
      <w:r w:rsidRPr="00074AA5">
        <w:rPr>
          <w:rFonts w:asciiTheme="minorHAnsi" w:hAnsiTheme="minorHAnsi"/>
          <w:b/>
          <w:u w:val="single"/>
        </w:rPr>
        <w:t>Financial Highlights</w:t>
      </w:r>
    </w:p>
    <w:p w:rsidR="00074AA5" w:rsidRPr="00074AA5" w:rsidRDefault="00074AA5" w:rsidP="00074AA5">
      <w:pPr>
        <w:pStyle w:val="ListParagraph"/>
        <w:numPr>
          <w:ilvl w:val="0"/>
          <w:numId w:val="17"/>
        </w:numPr>
        <w:spacing w:after="200" w:line="276" w:lineRule="auto"/>
        <w:contextualSpacing/>
        <w:jc w:val="left"/>
        <w:rPr>
          <w:rFonts w:asciiTheme="minorHAnsi" w:hAnsiTheme="minorHAnsi"/>
        </w:rPr>
      </w:pPr>
      <w:r w:rsidRPr="00074AA5">
        <w:rPr>
          <w:rFonts w:asciiTheme="minorHAnsi" w:hAnsiTheme="minorHAnsi"/>
        </w:rPr>
        <w:t>Turnover up 10% to £28.5 million (2013: £25.9million);</w:t>
      </w:r>
    </w:p>
    <w:p w:rsidR="00074AA5" w:rsidRPr="00074AA5" w:rsidRDefault="00074AA5" w:rsidP="00074AA5">
      <w:pPr>
        <w:pStyle w:val="ListParagraph"/>
        <w:numPr>
          <w:ilvl w:val="0"/>
          <w:numId w:val="17"/>
        </w:numPr>
        <w:spacing w:after="200" w:line="276" w:lineRule="auto"/>
        <w:contextualSpacing/>
        <w:jc w:val="left"/>
        <w:rPr>
          <w:rFonts w:asciiTheme="minorHAnsi" w:hAnsiTheme="minorHAnsi"/>
        </w:rPr>
      </w:pPr>
      <w:r w:rsidRPr="00074AA5">
        <w:rPr>
          <w:rFonts w:asciiTheme="minorHAnsi" w:hAnsiTheme="minorHAnsi"/>
        </w:rPr>
        <w:t xml:space="preserve">Operating profit </w:t>
      </w:r>
      <w:r w:rsidR="00072710">
        <w:rPr>
          <w:rFonts w:asciiTheme="minorHAnsi" w:hAnsiTheme="minorHAnsi"/>
        </w:rPr>
        <w:t>of</w:t>
      </w:r>
      <w:r w:rsidRPr="00074AA5">
        <w:rPr>
          <w:rFonts w:asciiTheme="minorHAnsi" w:hAnsiTheme="minorHAnsi"/>
        </w:rPr>
        <w:t xml:space="preserve"> £2.8 million</w:t>
      </w:r>
      <w:r w:rsidR="00072710">
        <w:rPr>
          <w:rFonts w:asciiTheme="minorHAnsi" w:hAnsiTheme="minorHAnsi"/>
        </w:rPr>
        <w:t xml:space="preserve"> (2013: 1.4 million),</w:t>
      </w:r>
      <w:r w:rsidRPr="00074AA5">
        <w:rPr>
          <w:rFonts w:asciiTheme="minorHAnsi" w:hAnsiTheme="minorHAnsi"/>
        </w:rPr>
        <w:t xml:space="preserve"> the best result since the business floated in 2004;</w:t>
      </w:r>
    </w:p>
    <w:p w:rsidR="00074AA5" w:rsidRPr="00074AA5" w:rsidRDefault="00074AA5" w:rsidP="00074AA5">
      <w:pPr>
        <w:pStyle w:val="ListParagraph"/>
        <w:numPr>
          <w:ilvl w:val="0"/>
          <w:numId w:val="17"/>
        </w:numPr>
        <w:spacing w:after="200" w:line="276" w:lineRule="auto"/>
        <w:contextualSpacing/>
        <w:jc w:val="left"/>
        <w:rPr>
          <w:rFonts w:asciiTheme="minorHAnsi" w:hAnsiTheme="minorHAnsi"/>
        </w:rPr>
      </w:pPr>
      <w:r w:rsidRPr="00074AA5">
        <w:rPr>
          <w:rFonts w:asciiTheme="minorHAnsi" w:hAnsiTheme="minorHAnsi"/>
        </w:rPr>
        <w:t xml:space="preserve">Net debt further reduced from £4.2 million to £2.1 million; </w:t>
      </w:r>
    </w:p>
    <w:p w:rsidR="00074AA5" w:rsidRPr="00074AA5" w:rsidRDefault="00074AA5" w:rsidP="00074AA5">
      <w:pPr>
        <w:pStyle w:val="ListParagraph"/>
        <w:numPr>
          <w:ilvl w:val="0"/>
          <w:numId w:val="17"/>
        </w:numPr>
        <w:spacing w:after="200" w:line="276" w:lineRule="auto"/>
        <w:contextualSpacing/>
        <w:jc w:val="left"/>
        <w:rPr>
          <w:rFonts w:asciiTheme="minorHAnsi" w:hAnsiTheme="minorHAnsi"/>
        </w:rPr>
      </w:pPr>
      <w:r w:rsidRPr="00074AA5">
        <w:rPr>
          <w:rFonts w:asciiTheme="minorHAnsi" w:hAnsiTheme="minorHAnsi"/>
        </w:rPr>
        <w:t xml:space="preserve">Capital expenditure of just over £2 million for </w:t>
      </w:r>
      <w:proofErr w:type="spellStart"/>
      <w:r w:rsidRPr="00074AA5">
        <w:rPr>
          <w:rFonts w:asciiTheme="minorHAnsi" w:hAnsiTheme="minorHAnsi"/>
        </w:rPr>
        <w:t>Freshfield</w:t>
      </w:r>
      <w:proofErr w:type="spellEnd"/>
      <w:r w:rsidRPr="00074AA5">
        <w:rPr>
          <w:rFonts w:asciiTheme="minorHAnsi" w:hAnsiTheme="minorHAnsi"/>
        </w:rPr>
        <w:t xml:space="preserve"> Lane expansion project and completion of Telford reorganisation; and </w:t>
      </w:r>
    </w:p>
    <w:p w:rsidR="00074AA5" w:rsidRPr="00074AA5" w:rsidRDefault="00074AA5" w:rsidP="00074AA5">
      <w:pPr>
        <w:pStyle w:val="ListParagraph"/>
        <w:numPr>
          <w:ilvl w:val="0"/>
          <w:numId w:val="17"/>
        </w:numPr>
        <w:spacing w:after="200" w:line="276" w:lineRule="auto"/>
        <w:contextualSpacing/>
        <w:jc w:val="left"/>
        <w:rPr>
          <w:rFonts w:asciiTheme="minorHAnsi" w:hAnsiTheme="minorHAnsi"/>
        </w:rPr>
      </w:pPr>
      <w:r w:rsidRPr="00074AA5">
        <w:rPr>
          <w:rFonts w:asciiTheme="minorHAnsi" w:hAnsiTheme="minorHAnsi"/>
        </w:rPr>
        <w:t xml:space="preserve">Dividend reinstated - 0.5 pence per share payable for the period. </w:t>
      </w:r>
    </w:p>
    <w:p w:rsidR="00074AA5" w:rsidRPr="00074AA5" w:rsidRDefault="00074AA5" w:rsidP="00074AA5">
      <w:pPr>
        <w:rPr>
          <w:rFonts w:asciiTheme="minorHAnsi" w:hAnsiTheme="minorHAnsi"/>
          <w:b/>
          <w:u w:val="single"/>
        </w:rPr>
      </w:pPr>
      <w:r w:rsidRPr="00074AA5">
        <w:rPr>
          <w:rFonts w:asciiTheme="minorHAnsi" w:hAnsiTheme="minorHAnsi"/>
          <w:b/>
          <w:u w:val="single"/>
        </w:rPr>
        <w:t xml:space="preserve">Operational Highlights </w:t>
      </w:r>
    </w:p>
    <w:p w:rsidR="00074AA5" w:rsidRPr="00074AA5" w:rsidRDefault="00074AA5" w:rsidP="00074AA5">
      <w:pPr>
        <w:pStyle w:val="ListParagraph"/>
        <w:numPr>
          <w:ilvl w:val="0"/>
          <w:numId w:val="18"/>
        </w:numPr>
        <w:spacing w:after="200" w:line="276" w:lineRule="auto"/>
        <w:contextualSpacing/>
        <w:jc w:val="left"/>
        <w:rPr>
          <w:rFonts w:asciiTheme="minorHAnsi" w:hAnsiTheme="minorHAnsi"/>
        </w:rPr>
      </w:pPr>
      <w:r w:rsidRPr="00074AA5">
        <w:rPr>
          <w:rFonts w:asciiTheme="minorHAnsi" w:hAnsiTheme="minorHAnsi"/>
        </w:rPr>
        <w:t>Strong progress in an improved market place;</w:t>
      </w:r>
    </w:p>
    <w:p w:rsidR="00074AA5" w:rsidRPr="00074AA5" w:rsidRDefault="00074AA5" w:rsidP="00074AA5">
      <w:pPr>
        <w:pStyle w:val="ListParagraph"/>
        <w:numPr>
          <w:ilvl w:val="0"/>
          <w:numId w:val="18"/>
        </w:numPr>
        <w:spacing w:after="200" w:line="276" w:lineRule="auto"/>
        <w:contextualSpacing/>
        <w:jc w:val="left"/>
        <w:rPr>
          <w:rFonts w:asciiTheme="minorHAnsi" w:hAnsiTheme="minorHAnsi"/>
        </w:rPr>
      </w:pPr>
      <w:r w:rsidRPr="00074AA5">
        <w:rPr>
          <w:rFonts w:asciiTheme="minorHAnsi" w:hAnsiTheme="minorHAnsi"/>
        </w:rPr>
        <w:t xml:space="preserve">70 million bricks sold in the period and production of 67.5 million; </w:t>
      </w:r>
    </w:p>
    <w:p w:rsidR="00074AA5" w:rsidRPr="00074AA5" w:rsidRDefault="00074AA5" w:rsidP="00074AA5">
      <w:pPr>
        <w:pStyle w:val="ListParagraph"/>
        <w:numPr>
          <w:ilvl w:val="0"/>
          <w:numId w:val="18"/>
        </w:numPr>
        <w:spacing w:after="200" w:line="276" w:lineRule="auto"/>
        <w:contextualSpacing/>
        <w:jc w:val="left"/>
        <w:rPr>
          <w:rFonts w:asciiTheme="minorHAnsi" w:hAnsiTheme="minorHAnsi"/>
        </w:rPr>
      </w:pPr>
      <w:r w:rsidRPr="00074AA5">
        <w:rPr>
          <w:rFonts w:asciiTheme="minorHAnsi" w:hAnsiTheme="minorHAnsi"/>
        </w:rPr>
        <w:t>Average selling prices increased 13.5%</w:t>
      </w:r>
      <w:r w:rsidR="00072710">
        <w:rPr>
          <w:rFonts w:asciiTheme="minorHAnsi" w:hAnsiTheme="minorHAnsi"/>
        </w:rPr>
        <w:t xml:space="preserve"> on prior year prices</w:t>
      </w:r>
      <w:r w:rsidRPr="00074AA5">
        <w:rPr>
          <w:rFonts w:asciiTheme="minorHAnsi" w:hAnsiTheme="minorHAnsi"/>
        </w:rPr>
        <w:t>;</w:t>
      </w:r>
    </w:p>
    <w:p w:rsidR="00074AA5" w:rsidRPr="00074AA5" w:rsidRDefault="00074AA5" w:rsidP="00074AA5">
      <w:pPr>
        <w:pStyle w:val="ListParagraph"/>
        <w:numPr>
          <w:ilvl w:val="0"/>
          <w:numId w:val="18"/>
        </w:numPr>
        <w:spacing w:after="200" w:line="276" w:lineRule="auto"/>
        <w:contextualSpacing/>
        <w:jc w:val="left"/>
        <w:rPr>
          <w:rFonts w:asciiTheme="minorHAnsi" w:hAnsiTheme="minorHAnsi"/>
        </w:rPr>
      </w:pPr>
      <w:r w:rsidRPr="00074AA5">
        <w:rPr>
          <w:rFonts w:asciiTheme="minorHAnsi" w:hAnsiTheme="minorHAnsi"/>
        </w:rPr>
        <w:t xml:space="preserve">January 2014 saw the commencement of the 20% expansion project at </w:t>
      </w:r>
      <w:proofErr w:type="spellStart"/>
      <w:r w:rsidRPr="00074AA5">
        <w:rPr>
          <w:rFonts w:asciiTheme="minorHAnsi" w:hAnsiTheme="minorHAnsi"/>
        </w:rPr>
        <w:t>Freshfield</w:t>
      </w:r>
      <w:proofErr w:type="spellEnd"/>
      <w:r w:rsidRPr="00074AA5">
        <w:rPr>
          <w:rFonts w:asciiTheme="minorHAnsi" w:hAnsiTheme="minorHAnsi"/>
        </w:rPr>
        <w:t xml:space="preserve"> Lane which has now been completed, extending capacity at the plant by 6 million bricks;</w:t>
      </w:r>
    </w:p>
    <w:p w:rsidR="00074AA5" w:rsidRPr="00074AA5" w:rsidRDefault="00074AA5" w:rsidP="00074AA5">
      <w:pPr>
        <w:pStyle w:val="ListParagraph"/>
        <w:numPr>
          <w:ilvl w:val="0"/>
          <w:numId w:val="18"/>
        </w:numPr>
        <w:spacing w:after="200" w:line="276" w:lineRule="auto"/>
        <w:contextualSpacing/>
        <w:jc w:val="left"/>
        <w:rPr>
          <w:rFonts w:asciiTheme="minorHAnsi" w:hAnsiTheme="minorHAnsi"/>
        </w:rPr>
      </w:pPr>
      <w:r w:rsidRPr="00074AA5">
        <w:rPr>
          <w:rFonts w:asciiTheme="minorHAnsi" w:hAnsiTheme="minorHAnsi"/>
        </w:rPr>
        <w:t>New products launched and awards won such as ‘Best Public building’ for the East Ham Customer Service Centre &amp; Library at the BDA awards;</w:t>
      </w:r>
    </w:p>
    <w:p w:rsidR="00074AA5" w:rsidRPr="00074AA5" w:rsidRDefault="00074AA5" w:rsidP="00074AA5">
      <w:pPr>
        <w:pStyle w:val="ListParagraph"/>
        <w:numPr>
          <w:ilvl w:val="0"/>
          <w:numId w:val="18"/>
        </w:numPr>
        <w:spacing w:after="200" w:line="276" w:lineRule="auto"/>
        <w:contextualSpacing/>
        <w:jc w:val="left"/>
        <w:rPr>
          <w:rFonts w:asciiTheme="minorHAnsi" w:hAnsiTheme="minorHAnsi"/>
        </w:rPr>
      </w:pPr>
      <w:r w:rsidRPr="00074AA5">
        <w:rPr>
          <w:rFonts w:asciiTheme="minorHAnsi" w:hAnsiTheme="minorHAnsi"/>
        </w:rPr>
        <w:t xml:space="preserve">Application for 200 houses at </w:t>
      </w:r>
      <w:r w:rsidR="005F77BD">
        <w:rPr>
          <w:rFonts w:asciiTheme="minorHAnsi" w:hAnsiTheme="minorHAnsi"/>
        </w:rPr>
        <w:t>the</w:t>
      </w:r>
      <w:r w:rsidR="00A252E4">
        <w:rPr>
          <w:rFonts w:asciiTheme="minorHAnsi" w:hAnsiTheme="minorHAnsi"/>
        </w:rPr>
        <w:t xml:space="preserve"> </w:t>
      </w:r>
      <w:r w:rsidRPr="00074AA5">
        <w:rPr>
          <w:rFonts w:asciiTheme="minorHAnsi" w:hAnsiTheme="minorHAnsi"/>
        </w:rPr>
        <w:t xml:space="preserve">Charnwood site was submitted at the end of 2014; and </w:t>
      </w:r>
    </w:p>
    <w:p w:rsidR="00074AA5" w:rsidRPr="00074AA5" w:rsidRDefault="00074AA5" w:rsidP="00074AA5">
      <w:pPr>
        <w:pStyle w:val="ListParagraph"/>
        <w:numPr>
          <w:ilvl w:val="0"/>
          <w:numId w:val="18"/>
        </w:numPr>
        <w:spacing w:after="200" w:line="276" w:lineRule="auto"/>
        <w:contextualSpacing/>
        <w:jc w:val="left"/>
        <w:rPr>
          <w:rFonts w:asciiTheme="minorHAnsi" w:hAnsiTheme="minorHAnsi"/>
        </w:rPr>
      </w:pPr>
      <w:r w:rsidRPr="00074AA5">
        <w:rPr>
          <w:rFonts w:asciiTheme="minorHAnsi" w:hAnsiTheme="minorHAnsi"/>
        </w:rPr>
        <w:t>Planning consent confirmed for additional clay extraction at Michelmersh site.</w:t>
      </w:r>
    </w:p>
    <w:p w:rsidR="00074AA5" w:rsidRPr="00074AA5" w:rsidRDefault="00074AA5" w:rsidP="00074AA5">
      <w:pPr>
        <w:rPr>
          <w:rFonts w:asciiTheme="minorHAnsi" w:hAnsiTheme="minorHAnsi"/>
        </w:rPr>
      </w:pPr>
    </w:p>
    <w:p w:rsidR="00074AA5" w:rsidRPr="00074AA5" w:rsidRDefault="00074AA5" w:rsidP="00074AA5">
      <w:pPr>
        <w:rPr>
          <w:rFonts w:asciiTheme="minorHAnsi" w:hAnsiTheme="minorHAnsi"/>
          <w:b/>
        </w:rPr>
      </w:pPr>
      <w:r w:rsidRPr="00074AA5">
        <w:rPr>
          <w:rFonts w:asciiTheme="minorHAnsi" w:hAnsiTheme="minorHAnsi"/>
        </w:rPr>
        <w:t xml:space="preserve">Eric Gadsden, Chairman at Michelmersh Brick Holdings, commented: </w:t>
      </w:r>
      <w:r w:rsidRPr="00074AA5">
        <w:rPr>
          <w:rFonts w:asciiTheme="minorHAnsi" w:hAnsiTheme="minorHAnsi"/>
          <w:b/>
        </w:rPr>
        <w:t>“</w:t>
      </w:r>
      <w:r w:rsidR="005F77BD" w:rsidRPr="00074AA5">
        <w:rPr>
          <w:rFonts w:asciiTheme="minorHAnsi" w:hAnsiTheme="minorHAnsi"/>
          <w:b/>
        </w:rPr>
        <w:t>M</w:t>
      </w:r>
      <w:r w:rsidR="005F77BD">
        <w:rPr>
          <w:rFonts w:asciiTheme="minorHAnsi" w:hAnsiTheme="minorHAnsi"/>
          <w:b/>
        </w:rPr>
        <w:t>ichelmersh</w:t>
      </w:r>
      <w:r w:rsidR="005F77BD" w:rsidRPr="00074AA5">
        <w:rPr>
          <w:rFonts w:asciiTheme="minorHAnsi" w:hAnsiTheme="minorHAnsi"/>
          <w:b/>
        </w:rPr>
        <w:t xml:space="preserve"> </w:t>
      </w:r>
      <w:r w:rsidRPr="00074AA5">
        <w:rPr>
          <w:rFonts w:asciiTheme="minorHAnsi" w:hAnsiTheme="minorHAnsi"/>
          <w:b/>
        </w:rPr>
        <w:t xml:space="preserve">is the only UK owned brick manufacturer and places itself in the top end of the market in terms of quality of products and service to customers. With a strong financial footing, and in a market that seems set for continued prosperity, we can </w:t>
      </w:r>
      <w:r w:rsidR="006E1523">
        <w:rPr>
          <w:rFonts w:asciiTheme="minorHAnsi" w:hAnsiTheme="minorHAnsi"/>
          <w:b/>
        </w:rPr>
        <w:t>be confident of</w:t>
      </w:r>
      <w:r w:rsidRPr="00074AA5">
        <w:rPr>
          <w:rFonts w:asciiTheme="minorHAnsi" w:hAnsiTheme="minorHAnsi"/>
          <w:b/>
        </w:rPr>
        <w:t xml:space="preserve"> </w:t>
      </w:r>
      <w:r w:rsidR="006E1523">
        <w:rPr>
          <w:rFonts w:asciiTheme="minorHAnsi" w:hAnsiTheme="minorHAnsi"/>
          <w:b/>
        </w:rPr>
        <w:t xml:space="preserve">robust </w:t>
      </w:r>
      <w:r w:rsidRPr="00074AA5">
        <w:rPr>
          <w:rFonts w:asciiTheme="minorHAnsi" w:hAnsiTheme="minorHAnsi"/>
          <w:b/>
        </w:rPr>
        <w:t>profit</w:t>
      </w:r>
      <w:r w:rsidR="006E1523">
        <w:rPr>
          <w:rFonts w:asciiTheme="minorHAnsi" w:hAnsiTheme="minorHAnsi"/>
          <w:b/>
        </w:rPr>
        <w:t>ability</w:t>
      </w:r>
      <w:r w:rsidRPr="00074AA5">
        <w:rPr>
          <w:rFonts w:asciiTheme="minorHAnsi" w:hAnsiTheme="minorHAnsi"/>
          <w:b/>
        </w:rPr>
        <w:t xml:space="preserve"> and meaningful shareholder returns</w:t>
      </w:r>
      <w:r w:rsidR="006E1523">
        <w:rPr>
          <w:rFonts w:asciiTheme="minorHAnsi" w:hAnsiTheme="minorHAnsi"/>
          <w:b/>
        </w:rPr>
        <w:t xml:space="preserve"> going forward</w:t>
      </w:r>
      <w:r w:rsidRPr="00074AA5">
        <w:rPr>
          <w:rFonts w:asciiTheme="minorHAnsi" w:hAnsiTheme="minorHAnsi"/>
          <w:b/>
        </w:rPr>
        <w:t xml:space="preserve">. We have had a strong start to 2015 and, with our well-invested plants, </w:t>
      </w:r>
      <w:r w:rsidR="006E1523">
        <w:rPr>
          <w:rFonts w:asciiTheme="minorHAnsi" w:hAnsiTheme="minorHAnsi"/>
          <w:b/>
        </w:rPr>
        <w:t>feel well positioned for the year ahead</w:t>
      </w:r>
      <w:r w:rsidRPr="00074AA5">
        <w:rPr>
          <w:rFonts w:asciiTheme="minorHAnsi" w:hAnsiTheme="minorHAnsi"/>
          <w:b/>
        </w:rPr>
        <w:t xml:space="preserve">.” </w:t>
      </w:r>
    </w:p>
    <w:p w:rsidR="00074AA5" w:rsidRPr="00074AA5" w:rsidRDefault="00074AA5">
      <w:pPr>
        <w:jc w:val="left"/>
        <w:rPr>
          <w:rFonts w:asciiTheme="minorHAnsi" w:hAnsiTheme="minorHAnsi"/>
          <w:b/>
          <w:u w:val="single"/>
        </w:rPr>
      </w:pPr>
      <w:r w:rsidRPr="00074AA5">
        <w:rPr>
          <w:rFonts w:asciiTheme="minorHAnsi" w:hAnsiTheme="minorHAnsi"/>
          <w:b/>
          <w:u w:val="single"/>
        </w:rPr>
        <w:br w:type="page"/>
      </w:r>
    </w:p>
    <w:p w:rsidR="00074AA5" w:rsidRDefault="00074AA5" w:rsidP="00074AA5">
      <w:pPr>
        <w:rPr>
          <w:rFonts w:asciiTheme="minorHAnsi" w:hAnsiTheme="minorHAnsi"/>
          <w:b/>
          <w:u w:val="single"/>
        </w:rPr>
      </w:pPr>
      <w:r w:rsidRPr="00074AA5">
        <w:rPr>
          <w:rFonts w:asciiTheme="minorHAnsi" w:hAnsiTheme="minorHAnsi"/>
          <w:b/>
          <w:u w:val="single"/>
        </w:rPr>
        <w:lastRenderedPageBreak/>
        <w:t>Chairman’s Statement</w:t>
      </w:r>
    </w:p>
    <w:p w:rsidR="00C95D2C" w:rsidRPr="00074AA5" w:rsidRDefault="00C95D2C" w:rsidP="00074AA5">
      <w:pPr>
        <w:rPr>
          <w:rFonts w:asciiTheme="minorHAnsi" w:hAnsiTheme="minorHAnsi"/>
          <w:b/>
          <w:u w:val="single"/>
        </w:rPr>
      </w:pPr>
    </w:p>
    <w:p w:rsidR="00074AA5" w:rsidRPr="00074AA5" w:rsidRDefault="00074AA5" w:rsidP="00074AA5">
      <w:pPr>
        <w:rPr>
          <w:rFonts w:asciiTheme="minorHAnsi" w:hAnsiTheme="minorHAnsi"/>
        </w:rPr>
      </w:pPr>
      <w:r w:rsidRPr="00074AA5">
        <w:rPr>
          <w:rFonts w:asciiTheme="minorHAnsi" w:hAnsiTheme="minorHAnsi"/>
        </w:rPr>
        <w:t>I am pleased to report a very good performance for the Group in 2014 having made continued strong progress, building on the foundations laid in the previous period, and in a further improved market place. In addition, I can report to shareholders that the Group is well placed to make further advances in a very promising market.</w:t>
      </w:r>
    </w:p>
    <w:p w:rsidR="00074AA5" w:rsidRPr="00074AA5" w:rsidRDefault="00074AA5" w:rsidP="00074AA5">
      <w:pPr>
        <w:rPr>
          <w:rFonts w:asciiTheme="minorHAnsi" w:hAnsiTheme="minorHAnsi"/>
        </w:rPr>
      </w:pPr>
      <w:r w:rsidRPr="00074AA5">
        <w:rPr>
          <w:rFonts w:asciiTheme="minorHAnsi" w:hAnsiTheme="minorHAnsi"/>
        </w:rPr>
        <w:t xml:space="preserve">In the financial period, turnover increased by 10% to £28.5 million (2013: £25.9 million) as average brick selling prices increased by 13.5%.  These price increases translated into a profitable outcome for the year and we can anticipate continued progress with the recent completion of the investment at our largest brickworks </w:t>
      </w:r>
      <w:proofErr w:type="spellStart"/>
      <w:r w:rsidRPr="00074AA5">
        <w:rPr>
          <w:rFonts w:asciiTheme="minorHAnsi" w:hAnsiTheme="minorHAnsi"/>
        </w:rPr>
        <w:t>Freshfield</w:t>
      </w:r>
      <w:proofErr w:type="spellEnd"/>
      <w:r w:rsidRPr="00074AA5">
        <w:rPr>
          <w:rFonts w:asciiTheme="minorHAnsi" w:hAnsiTheme="minorHAnsi"/>
        </w:rPr>
        <w:t xml:space="preserve"> Lane, as the long awaited improvement in industry dynamics continues to play out favourably.  I am particularly pleased that our fortunes and prospects are positive enough to be able to reinstate dividend payments. </w:t>
      </w:r>
    </w:p>
    <w:p w:rsidR="00074AA5" w:rsidRPr="00074AA5" w:rsidRDefault="00074AA5" w:rsidP="00074AA5">
      <w:pPr>
        <w:rPr>
          <w:rFonts w:asciiTheme="minorHAnsi" w:hAnsiTheme="minorHAnsi"/>
        </w:rPr>
      </w:pPr>
    </w:p>
    <w:p w:rsidR="00074AA5" w:rsidRDefault="00074AA5" w:rsidP="00074AA5">
      <w:pPr>
        <w:rPr>
          <w:rFonts w:asciiTheme="minorHAnsi" w:hAnsiTheme="minorHAnsi"/>
          <w:b/>
          <w:u w:val="single"/>
        </w:rPr>
      </w:pPr>
      <w:r w:rsidRPr="00074AA5">
        <w:rPr>
          <w:rFonts w:asciiTheme="minorHAnsi" w:hAnsiTheme="minorHAnsi"/>
          <w:b/>
          <w:u w:val="single"/>
        </w:rPr>
        <w:t>Financial Highlights</w:t>
      </w:r>
    </w:p>
    <w:p w:rsidR="00C95D2C" w:rsidRPr="00074AA5" w:rsidRDefault="00C95D2C" w:rsidP="00074AA5">
      <w:pPr>
        <w:rPr>
          <w:rFonts w:asciiTheme="minorHAnsi" w:hAnsiTheme="minorHAnsi"/>
          <w:b/>
          <w:u w:val="single"/>
        </w:rPr>
      </w:pPr>
    </w:p>
    <w:tbl>
      <w:tblPr>
        <w:tblStyle w:val="TableGrid"/>
        <w:tblW w:w="0" w:type="auto"/>
        <w:tblInd w:w="1242" w:type="dxa"/>
        <w:tblLook w:val="04A0" w:firstRow="1" w:lastRow="0" w:firstColumn="1" w:lastColumn="0" w:noHBand="0" w:noVBand="1"/>
      </w:tblPr>
      <w:tblGrid>
        <w:gridCol w:w="3828"/>
        <w:gridCol w:w="1275"/>
        <w:gridCol w:w="1276"/>
        <w:gridCol w:w="1276"/>
      </w:tblGrid>
      <w:tr w:rsidR="00074AA5" w:rsidRPr="00074AA5" w:rsidTr="00072710">
        <w:tc>
          <w:tcPr>
            <w:tcW w:w="3828" w:type="dxa"/>
          </w:tcPr>
          <w:p w:rsidR="00074AA5" w:rsidRPr="00074AA5" w:rsidRDefault="00074AA5" w:rsidP="00072710">
            <w:pPr>
              <w:ind w:left="720"/>
              <w:rPr>
                <w:rFonts w:asciiTheme="minorHAnsi" w:hAnsiTheme="minorHAnsi"/>
                <w:b/>
              </w:rPr>
            </w:pPr>
          </w:p>
        </w:tc>
        <w:tc>
          <w:tcPr>
            <w:tcW w:w="1275" w:type="dxa"/>
          </w:tcPr>
          <w:p w:rsidR="00074AA5" w:rsidRPr="00074AA5" w:rsidRDefault="00074AA5" w:rsidP="00072710">
            <w:pPr>
              <w:rPr>
                <w:rFonts w:asciiTheme="minorHAnsi" w:eastAsiaTheme="majorEastAsia" w:hAnsiTheme="minorHAnsi" w:cstheme="majorBidi"/>
                <w:b/>
                <w:i/>
                <w:iCs/>
                <w:color w:val="404040" w:themeColor="text1" w:themeTint="BF"/>
              </w:rPr>
            </w:pPr>
            <w:r w:rsidRPr="00074AA5">
              <w:rPr>
                <w:rFonts w:asciiTheme="minorHAnsi" w:hAnsiTheme="minorHAnsi"/>
                <w:b/>
              </w:rPr>
              <w:t>2014</w:t>
            </w:r>
          </w:p>
        </w:tc>
        <w:tc>
          <w:tcPr>
            <w:tcW w:w="1276" w:type="dxa"/>
          </w:tcPr>
          <w:p w:rsidR="00074AA5" w:rsidRPr="00074AA5" w:rsidRDefault="00074AA5" w:rsidP="00072710">
            <w:pPr>
              <w:rPr>
                <w:rFonts w:asciiTheme="minorHAnsi" w:eastAsiaTheme="majorEastAsia" w:hAnsiTheme="minorHAnsi" w:cstheme="majorBidi"/>
                <w:i/>
                <w:iCs/>
                <w:color w:val="404040" w:themeColor="text1" w:themeTint="BF"/>
              </w:rPr>
            </w:pPr>
            <w:r w:rsidRPr="00074AA5">
              <w:rPr>
                <w:rFonts w:asciiTheme="minorHAnsi" w:hAnsiTheme="minorHAnsi"/>
              </w:rPr>
              <w:t>2013</w:t>
            </w:r>
          </w:p>
        </w:tc>
        <w:tc>
          <w:tcPr>
            <w:tcW w:w="1276" w:type="dxa"/>
          </w:tcPr>
          <w:p w:rsidR="00074AA5" w:rsidRPr="00074AA5" w:rsidRDefault="00074AA5" w:rsidP="00072710">
            <w:pPr>
              <w:rPr>
                <w:rFonts w:asciiTheme="minorHAnsi" w:eastAsiaTheme="majorEastAsia" w:hAnsiTheme="minorHAnsi" w:cstheme="majorBidi"/>
                <w:i/>
                <w:iCs/>
                <w:color w:val="404040" w:themeColor="text1" w:themeTint="BF"/>
              </w:rPr>
            </w:pPr>
            <w:r w:rsidRPr="00074AA5">
              <w:rPr>
                <w:rFonts w:asciiTheme="minorHAnsi" w:hAnsiTheme="minorHAnsi"/>
              </w:rPr>
              <w:t>+/-</w:t>
            </w:r>
          </w:p>
        </w:tc>
      </w:tr>
      <w:tr w:rsidR="00074AA5" w:rsidRPr="00074AA5" w:rsidTr="00072710">
        <w:tc>
          <w:tcPr>
            <w:tcW w:w="3828" w:type="dxa"/>
          </w:tcPr>
          <w:p w:rsidR="00074AA5" w:rsidRPr="00074AA5" w:rsidRDefault="00074AA5" w:rsidP="00072710">
            <w:pPr>
              <w:rPr>
                <w:rFonts w:asciiTheme="minorHAnsi" w:eastAsiaTheme="majorEastAsia" w:hAnsiTheme="minorHAnsi" w:cstheme="majorBidi"/>
                <w:b/>
                <w:i/>
                <w:iCs/>
                <w:color w:val="404040" w:themeColor="text1" w:themeTint="BF"/>
              </w:rPr>
            </w:pPr>
            <w:r w:rsidRPr="00074AA5">
              <w:rPr>
                <w:rFonts w:asciiTheme="minorHAnsi" w:hAnsiTheme="minorHAnsi"/>
                <w:b/>
              </w:rPr>
              <w:t>Turnover</w:t>
            </w:r>
          </w:p>
        </w:tc>
        <w:tc>
          <w:tcPr>
            <w:tcW w:w="1275" w:type="dxa"/>
          </w:tcPr>
          <w:p w:rsidR="00074AA5" w:rsidRPr="00074AA5" w:rsidRDefault="00074AA5" w:rsidP="00072710">
            <w:pPr>
              <w:rPr>
                <w:rFonts w:asciiTheme="minorHAnsi" w:eastAsiaTheme="majorEastAsia" w:hAnsiTheme="minorHAnsi" w:cstheme="majorBidi"/>
                <w:b/>
                <w:i/>
                <w:iCs/>
                <w:color w:val="404040" w:themeColor="text1" w:themeTint="BF"/>
              </w:rPr>
            </w:pPr>
            <w:r w:rsidRPr="00074AA5">
              <w:rPr>
                <w:rFonts w:asciiTheme="minorHAnsi" w:hAnsiTheme="minorHAnsi"/>
                <w:b/>
              </w:rPr>
              <w:t>£28.5 m</w:t>
            </w:r>
          </w:p>
        </w:tc>
        <w:tc>
          <w:tcPr>
            <w:tcW w:w="1276" w:type="dxa"/>
          </w:tcPr>
          <w:p w:rsidR="00074AA5" w:rsidRPr="00074AA5" w:rsidRDefault="00074AA5" w:rsidP="00072710">
            <w:pPr>
              <w:rPr>
                <w:rFonts w:asciiTheme="minorHAnsi" w:eastAsiaTheme="majorEastAsia" w:hAnsiTheme="minorHAnsi" w:cstheme="majorBidi"/>
                <w:i/>
                <w:iCs/>
                <w:color w:val="404040" w:themeColor="text1" w:themeTint="BF"/>
              </w:rPr>
            </w:pPr>
            <w:r w:rsidRPr="00074AA5">
              <w:rPr>
                <w:rFonts w:asciiTheme="minorHAnsi" w:hAnsiTheme="minorHAnsi"/>
              </w:rPr>
              <w:t>£25.9 m</w:t>
            </w:r>
          </w:p>
        </w:tc>
        <w:tc>
          <w:tcPr>
            <w:tcW w:w="1276" w:type="dxa"/>
          </w:tcPr>
          <w:p w:rsidR="00074AA5" w:rsidRPr="00074AA5" w:rsidRDefault="00074AA5" w:rsidP="00072710">
            <w:pPr>
              <w:rPr>
                <w:rFonts w:asciiTheme="minorHAnsi" w:eastAsiaTheme="majorEastAsia" w:hAnsiTheme="minorHAnsi" w:cstheme="majorBidi"/>
                <w:i/>
                <w:iCs/>
                <w:color w:val="404040" w:themeColor="text1" w:themeTint="BF"/>
              </w:rPr>
            </w:pPr>
            <w:r w:rsidRPr="00074AA5">
              <w:rPr>
                <w:rFonts w:asciiTheme="minorHAnsi" w:hAnsiTheme="minorHAnsi"/>
              </w:rPr>
              <w:t>+10%</w:t>
            </w:r>
          </w:p>
        </w:tc>
      </w:tr>
      <w:tr w:rsidR="00074AA5" w:rsidRPr="00074AA5" w:rsidTr="00072710">
        <w:tc>
          <w:tcPr>
            <w:tcW w:w="3828" w:type="dxa"/>
          </w:tcPr>
          <w:p w:rsidR="00074AA5" w:rsidRPr="00074AA5" w:rsidRDefault="00074AA5" w:rsidP="00072710">
            <w:pPr>
              <w:rPr>
                <w:rFonts w:asciiTheme="minorHAnsi" w:eastAsiaTheme="minorHAnsi" w:hAnsiTheme="minorHAnsi"/>
                <w:b/>
              </w:rPr>
            </w:pPr>
            <w:r w:rsidRPr="00074AA5">
              <w:rPr>
                <w:rFonts w:asciiTheme="minorHAnsi" w:hAnsiTheme="minorHAnsi"/>
                <w:b/>
              </w:rPr>
              <w:t>Operating profit</w:t>
            </w:r>
          </w:p>
        </w:tc>
        <w:tc>
          <w:tcPr>
            <w:tcW w:w="1275" w:type="dxa"/>
          </w:tcPr>
          <w:p w:rsidR="00074AA5" w:rsidRPr="00074AA5" w:rsidRDefault="00074AA5" w:rsidP="00072710">
            <w:pPr>
              <w:rPr>
                <w:rFonts w:asciiTheme="minorHAnsi" w:eastAsiaTheme="majorEastAsia" w:hAnsiTheme="minorHAnsi" w:cstheme="majorBidi"/>
                <w:b/>
                <w:i/>
                <w:iCs/>
                <w:color w:val="404040" w:themeColor="text1" w:themeTint="BF"/>
              </w:rPr>
            </w:pPr>
            <w:r w:rsidRPr="00074AA5">
              <w:rPr>
                <w:rFonts w:asciiTheme="minorHAnsi" w:hAnsiTheme="minorHAnsi"/>
                <w:b/>
              </w:rPr>
              <w:t>£2.8 m</w:t>
            </w:r>
          </w:p>
        </w:tc>
        <w:tc>
          <w:tcPr>
            <w:tcW w:w="1276" w:type="dxa"/>
          </w:tcPr>
          <w:p w:rsidR="00074AA5" w:rsidRPr="00074AA5" w:rsidRDefault="00074AA5" w:rsidP="00072710">
            <w:pPr>
              <w:rPr>
                <w:rFonts w:asciiTheme="minorHAnsi" w:eastAsiaTheme="majorEastAsia" w:hAnsiTheme="minorHAnsi" w:cstheme="majorBidi"/>
                <w:i/>
                <w:iCs/>
                <w:color w:val="404040" w:themeColor="text1" w:themeTint="BF"/>
              </w:rPr>
            </w:pPr>
            <w:r w:rsidRPr="00074AA5">
              <w:rPr>
                <w:rFonts w:asciiTheme="minorHAnsi" w:hAnsiTheme="minorHAnsi"/>
              </w:rPr>
              <w:t>£1.4 m</w:t>
            </w:r>
          </w:p>
        </w:tc>
        <w:tc>
          <w:tcPr>
            <w:tcW w:w="1276" w:type="dxa"/>
          </w:tcPr>
          <w:p w:rsidR="00074AA5" w:rsidRPr="00074AA5" w:rsidRDefault="00074AA5" w:rsidP="00072710">
            <w:pPr>
              <w:rPr>
                <w:rFonts w:asciiTheme="minorHAnsi" w:eastAsiaTheme="majorEastAsia" w:hAnsiTheme="minorHAnsi" w:cstheme="majorBidi"/>
                <w:i/>
                <w:iCs/>
                <w:color w:val="404040" w:themeColor="text1" w:themeTint="BF"/>
              </w:rPr>
            </w:pPr>
            <w:r w:rsidRPr="00074AA5">
              <w:rPr>
                <w:rFonts w:asciiTheme="minorHAnsi" w:hAnsiTheme="minorHAnsi"/>
              </w:rPr>
              <w:t>+100%</w:t>
            </w:r>
          </w:p>
        </w:tc>
      </w:tr>
      <w:tr w:rsidR="00074AA5" w:rsidRPr="00074AA5" w:rsidTr="00072710">
        <w:tc>
          <w:tcPr>
            <w:tcW w:w="3828" w:type="dxa"/>
          </w:tcPr>
          <w:p w:rsidR="00074AA5" w:rsidRPr="00074AA5" w:rsidRDefault="00074AA5" w:rsidP="00072710">
            <w:pPr>
              <w:rPr>
                <w:rFonts w:asciiTheme="minorHAnsi" w:eastAsiaTheme="minorHAnsi" w:hAnsiTheme="minorHAnsi"/>
                <w:b/>
              </w:rPr>
            </w:pPr>
            <w:r w:rsidRPr="00074AA5">
              <w:rPr>
                <w:rFonts w:asciiTheme="minorHAnsi" w:hAnsiTheme="minorHAnsi"/>
                <w:b/>
              </w:rPr>
              <w:t>Basic EPS</w:t>
            </w:r>
          </w:p>
        </w:tc>
        <w:tc>
          <w:tcPr>
            <w:tcW w:w="1275" w:type="dxa"/>
          </w:tcPr>
          <w:p w:rsidR="00074AA5" w:rsidRPr="00074AA5" w:rsidRDefault="00074AA5" w:rsidP="00072710">
            <w:pPr>
              <w:rPr>
                <w:rFonts w:asciiTheme="minorHAnsi" w:eastAsiaTheme="majorEastAsia" w:hAnsiTheme="minorHAnsi" w:cstheme="majorBidi"/>
                <w:b/>
                <w:i/>
                <w:iCs/>
                <w:color w:val="404040" w:themeColor="text1" w:themeTint="BF"/>
              </w:rPr>
            </w:pPr>
            <w:r w:rsidRPr="00074AA5">
              <w:rPr>
                <w:rFonts w:asciiTheme="minorHAnsi" w:hAnsiTheme="minorHAnsi"/>
                <w:b/>
              </w:rPr>
              <w:t>2.72 p</w:t>
            </w:r>
          </w:p>
        </w:tc>
        <w:tc>
          <w:tcPr>
            <w:tcW w:w="1276" w:type="dxa"/>
          </w:tcPr>
          <w:p w:rsidR="00074AA5" w:rsidRPr="00074AA5" w:rsidRDefault="00074AA5" w:rsidP="00072710">
            <w:pPr>
              <w:rPr>
                <w:rFonts w:asciiTheme="minorHAnsi" w:eastAsiaTheme="majorEastAsia" w:hAnsiTheme="minorHAnsi" w:cstheme="majorBidi"/>
                <w:i/>
                <w:iCs/>
                <w:color w:val="404040" w:themeColor="text1" w:themeTint="BF"/>
              </w:rPr>
            </w:pPr>
            <w:r w:rsidRPr="00074AA5">
              <w:rPr>
                <w:rFonts w:asciiTheme="minorHAnsi" w:hAnsiTheme="minorHAnsi"/>
              </w:rPr>
              <w:t>0.18 p</w:t>
            </w:r>
          </w:p>
        </w:tc>
        <w:tc>
          <w:tcPr>
            <w:tcW w:w="1276" w:type="dxa"/>
          </w:tcPr>
          <w:p w:rsidR="00074AA5" w:rsidRPr="00074AA5" w:rsidRDefault="00074AA5" w:rsidP="00072710">
            <w:pPr>
              <w:rPr>
                <w:rFonts w:asciiTheme="minorHAnsi" w:eastAsiaTheme="majorEastAsia" w:hAnsiTheme="minorHAnsi" w:cstheme="majorBidi"/>
                <w:i/>
                <w:iCs/>
                <w:color w:val="404040" w:themeColor="text1" w:themeTint="BF"/>
              </w:rPr>
            </w:pPr>
            <w:r w:rsidRPr="00074AA5">
              <w:rPr>
                <w:rFonts w:asciiTheme="minorHAnsi" w:hAnsiTheme="minorHAnsi"/>
              </w:rPr>
              <w:t>+2.54 p</w:t>
            </w:r>
          </w:p>
        </w:tc>
      </w:tr>
      <w:tr w:rsidR="00074AA5" w:rsidRPr="00074AA5" w:rsidTr="00072710">
        <w:tc>
          <w:tcPr>
            <w:tcW w:w="3828" w:type="dxa"/>
          </w:tcPr>
          <w:p w:rsidR="00074AA5" w:rsidRPr="00074AA5" w:rsidRDefault="00074AA5" w:rsidP="00072710">
            <w:pPr>
              <w:rPr>
                <w:rFonts w:asciiTheme="minorHAnsi" w:eastAsiaTheme="majorEastAsia" w:hAnsiTheme="minorHAnsi" w:cstheme="majorBidi"/>
                <w:b/>
                <w:i/>
                <w:iCs/>
                <w:color w:val="404040" w:themeColor="text1" w:themeTint="BF"/>
              </w:rPr>
            </w:pPr>
            <w:r w:rsidRPr="00074AA5">
              <w:rPr>
                <w:rFonts w:asciiTheme="minorHAnsi" w:hAnsiTheme="minorHAnsi"/>
                <w:b/>
              </w:rPr>
              <w:t>Net assets</w:t>
            </w:r>
          </w:p>
        </w:tc>
        <w:tc>
          <w:tcPr>
            <w:tcW w:w="1275" w:type="dxa"/>
          </w:tcPr>
          <w:p w:rsidR="00074AA5" w:rsidRPr="00074AA5" w:rsidRDefault="00074AA5" w:rsidP="00072710">
            <w:pPr>
              <w:rPr>
                <w:rFonts w:asciiTheme="minorHAnsi" w:eastAsiaTheme="majorEastAsia" w:hAnsiTheme="minorHAnsi" w:cstheme="majorBidi"/>
                <w:b/>
                <w:i/>
                <w:iCs/>
                <w:color w:val="404040" w:themeColor="text1" w:themeTint="BF"/>
              </w:rPr>
            </w:pPr>
            <w:r w:rsidRPr="00074AA5">
              <w:rPr>
                <w:rFonts w:asciiTheme="minorHAnsi" w:hAnsiTheme="minorHAnsi"/>
                <w:b/>
              </w:rPr>
              <w:t>£46.7 m</w:t>
            </w:r>
          </w:p>
        </w:tc>
        <w:tc>
          <w:tcPr>
            <w:tcW w:w="1276" w:type="dxa"/>
          </w:tcPr>
          <w:p w:rsidR="00074AA5" w:rsidRPr="00074AA5" w:rsidRDefault="00074AA5" w:rsidP="00072710">
            <w:pPr>
              <w:rPr>
                <w:rFonts w:asciiTheme="minorHAnsi" w:eastAsiaTheme="majorEastAsia" w:hAnsiTheme="minorHAnsi" w:cstheme="majorBidi"/>
                <w:i/>
                <w:iCs/>
                <w:color w:val="404040" w:themeColor="text1" w:themeTint="BF"/>
              </w:rPr>
            </w:pPr>
            <w:r w:rsidRPr="00074AA5">
              <w:rPr>
                <w:rFonts w:asciiTheme="minorHAnsi" w:hAnsiTheme="minorHAnsi"/>
              </w:rPr>
              <w:t>£45.5 m</w:t>
            </w:r>
          </w:p>
        </w:tc>
        <w:tc>
          <w:tcPr>
            <w:tcW w:w="1276" w:type="dxa"/>
          </w:tcPr>
          <w:p w:rsidR="00074AA5" w:rsidRPr="00074AA5" w:rsidRDefault="00074AA5" w:rsidP="00072710">
            <w:pPr>
              <w:rPr>
                <w:rFonts w:asciiTheme="minorHAnsi" w:eastAsiaTheme="majorEastAsia" w:hAnsiTheme="minorHAnsi" w:cstheme="majorBidi"/>
                <w:i/>
                <w:iCs/>
                <w:color w:val="404040" w:themeColor="text1" w:themeTint="BF"/>
              </w:rPr>
            </w:pPr>
            <w:r w:rsidRPr="00074AA5">
              <w:rPr>
                <w:rFonts w:asciiTheme="minorHAnsi" w:hAnsiTheme="minorHAnsi"/>
              </w:rPr>
              <w:t>+3%</w:t>
            </w:r>
          </w:p>
        </w:tc>
      </w:tr>
      <w:tr w:rsidR="00074AA5" w:rsidRPr="00074AA5" w:rsidTr="00072710">
        <w:tc>
          <w:tcPr>
            <w:tcW w:w="3828" w:type="dxa"/>
          </w:tcPr>
          <w:p w:rsidR="00074AA5" w:rsidRPr="00074AA5" w:rsidRDefault="00074AA5" w:rsidP="00072710">
            <w:pPr>
              <w:rPr>
                <w:rFonts w:asciiTheme="minorHAnsi" w:eastAsiaTheme="majorEastAsia" w:hAnsiTheme="minorHAnsi" w:cstheme="majorBidi"/>
                <w:b/>
                <w:i/>
                <w:iCs/>
                <w:color w:val="404040" w:themeColor="text1" w:themeTint="BF"/>
              </w:rPr>
            </w:pPr>
            <w:r w:rsidRPr="00074AA5">
              <w:rPr>
                <w:rFonts w:asciiTheme="minorHAnsi" w:hAnsiTheme="minorHAnsi"/>
                <w:b/>
              </w:rPr>
              <w:t>Net assets per share</w:t>
            </w:r>
          </w:p>
        </w:tc>
        <w:tc>
          <w:tcPr>
            <w:tcW w:w="1275" w:type="dxa"/>
          </w:tcPr>
          <w:p w:rsidR="00074AA5" w:rsidRPr="00074AA5" w:rsidRDefault="00074AA5" w:rsidP="00072710">
            <w:pPr>
              <w:rPr>
                <w:rFonts w:asciiTheme="minorHAnsi" w:eastAsiaTheme="majorEastAsia" w:hAnsiTheme="minorHAnsi" w:cstheme="majorBidi"/>
                <w:b/>
                <w:i/>
                <w:iCs/>
                <w:color w:val="404040" w:themeColor="text1" w:themeTint="BF"/>
              </w:rPr>
            </w:pPr>
            <w:r w:rsidRPr="00074AA5">
              <w:rPr>
                <w:rFonts w:asciiTheme="minorHAnsi" w:hAnsiTheme="minorHAnsi"/>
                <w:b/>
              </w:rPr>
              <w:t>57.5 p</w:t>
            </w:r>
          </w:p>
        </w:tc>
        <w:tc>
          <w:tcPr>
            <w:tcW w:w="1276" w:type="dxa"/>
          </w:tcPr>
          <w:p w:rsidR="00074AA5" w:rsidRPr="00074AA5" w:rsidRDefault="00074AA5" w:rsidP="00072710">
            <w:pPr>
              <w:rPr>
                <w:rFonts w:asciiTheme="minorHAnsi" w:eastAsiaTheme="majorEastAsia" w:hAnsiTheme="minorHAnsi" w:cstheme="majorBidi"/>
                <w:i/>
                <w:iCs/>
                <w:color w:val="404040" w:themeColor="text1" w:themeTint="BF"/>
              </w:rPr>
            </w:pPr>
            <w:r w:rsidRPr="00074AA5">
              <w:rPr>
                <w:rFonts w:asciiTheme="minorHAnsi" w:hAnsiTheme="minorHAnsi"/>
              </w:rPr>
              <w:t>56.3 p</w:t>
            </w:r>
          </w:p>
        </w:tc>
        <w:tc>
          <w:tcPr>
            <w:tcW w:w="1276" w:type="dxa"/>
          </w:tcPr>
          <w:p w:rsidR="00074AA5" w:rsidRPr="00074AA5" w:rsidRDefault="00074AA5" w:rsidP="00072710">
            <w:pPr>
              <w:rPr>
                <w:rFonts w:asciiTheme="minorHAnsi" w:eastAsiaTheme="majorEastAsia" w:hAnsiTheme="minorHAnsi" w:cstheme="majorBidi"/>
                <w:i/>
                <w:iCs/>
                <w:color w:val="404040" w:themeColor="text1" w:themeTint="BF"/>
              </w:rPr>
            </w:pPr>
            <w:r w:rsidRPr="00074AA5">
              <w:rPr>
                <w:rFonts w:asciiTheme="minorHAnsi" w:hAnsiTheme="minorHAnsi"/>
              </w:rPr>
              <w:t>+2%</w:t>
            </w:r>
          </w:p>
        </w:tc>
      </w:tr>
      <w:tr w:rsidR="00074AA5" w:rsidRPr="00074AA5" w:rsidTr="00072710">
        <w:tc>
          <w:tcPr>
            <w:tcW w:w="3828" w:type="dxa"/>
          </w:tcPr>
          <w:p w:rsidR="00074AA5" w:rsidRPr="00074AA5" w:rsidRDefault="00074AA5" w:rsidP="00072710">
            <w:pPr>
              <w:rPr>
                <w:rFonts w:asciiTheme="minorHAnsi" w:eastAsiaTheme="majorEastAsia" w:hAnsiTheme="minorHAnsi" w:cstheme="majorBidi"/>
                <w:b/>
                <w:i/>
                <w:iCs/>
                <w:color w:val="404040" w:themeColor="text1" w:themeTint="BF"/>
              </w:rPr>
            </w:pPr>
            <w:r w:rsidRPr="00074AA5">
              <w:rPr>
                <w:rFonts w:asciiTheme="minorHAnsi" w:hAnsiTheme="minorHAnsi"/>
                <w:b/>
              </w:rPr>
              <w:t>Net Debt</w:t>
            </w:r>
          </w:p>
        </w:tc>
        <w:tc>
          <w:tcPr>
            <w:tcW w:w="1275" w:type="dxa"/>
          </w:tcPr>
          <w:p w:rsidR="00074AA5" w:rsidRPr="00074AA5" w:rsidRDefault="00074AA5" w:rsidP="00072710">
            <w:pPr>
              <w:rPr>
                <w:rFonts w:asciiTheme="minorHAnsi" w:eastAsiaTheme="majorEastAsia" w:hAnsiTheme="minorHAnsi" w:cstheme="majorBidi"/>
                <w:b/>
                <w:i/>
                <w:iCs/>
                <w:color w:val="404040" w:themeColor="text1" w:themeTint="BF"/>
              </w:rPr>
            </w:pPr>
            <w:r w:rsidRPr="00074AA5">
              <w:rPr>
                <w:rFonts w:asciiTheme="minorHAnsi" w:hAnsiTheme="minorHAnsi"/>
                <w:b/>
              </w:rPr>
              <w:t>£2.1 m</w:t>
            </w:r>
          </w:p>
        </w:tc>
        <w:tc>
          <w:tcPr>
            <w:tcW w:w="1276" w:type="dxa"/>
          </w:tcPr>
          <w:p w:rsidR="00074AA5" w:rsidRPr="00074AA5" w:rsidRDefault="00074AA5" w:rsidP="00072710">
            <w:pPr>
              <w:rPr>
                <w:rFonts w:asciiTheme="minorHAnsi" w:eastAsiaTheme="majorEastAsia" w:hAnsiTheme="minorHAnsi" w:cstheme="majorBidi"/>
                <w:i/>
                <w:iCs/>
                <w:color w:val="404040" w:themeColor="text1" w:themeTint="BF"/>
              </w:rPr>
            </w:pPr>
            <w:r w:rsidRPr="00074AA5">
              <w:rPr>
                <w:rFonts w:asciiTheme="minorHAnsi" w:hAnsiTheme="minorHAnsi"/>
              </w:rPr>
              <w:t>£4.2 m</w:t>
            </w:r>
          </w:p>
        </w:tc>
        <w:tc>
          <w:tcPr>
            <w:tcW w:w="1276" w:type="dxa"/>
          </w:tcPr>
          <w:p w:rsidR="00074AA5" w:rsidRPr="00074AA5" w:rsidRDefault="00074AA5" w:rsidP="00072710">
            <w:pPr>
              <w:rPr>
                <w:rFonts w:asciiTheme="minorHAnsi" w:eastAsiaTheme="majorEastAsia" w:hAnsiTheme="minorHAnsi" w:cstheme="majorBidi"/>
                <w:i/>
                <w:iCs/>
                <w:color w:val="404040" w:themeColor="text1" w:themeTint="BF"/>
              </w:rPr>
            </w:pPr>
            <w:r w:rsidRPr="00074AA5">
              <w:rPr>
                <w:rFonts w:asciiTheme="minorHAnsi" w:hAnsiTheme="minorHAnsi"/>
              </w:rPr>
              <w:t>-£2.1 m</w:t>
            </w:r>
          </w:p>
        </w:tc>
      </w:tr>
    </w:tbl>
    <w:p w:rsidR="00074AA5" w:rsidRPr="00074AA5" w:rsidRDefault="00074AA5" w:rsidP="00074AA5">
      <w:pPr>
        <w:rPr>
          <w:rFonts w:asciiTheme="minorHAnsi" w:hAnsiTheme="minorHAnsi"/>
          <w:b/>
          <w:u w:val="single"/>
        </w:rPr>
      </w:pPr>
    </w:p>
    <w:p w:rsidR="00074AA5" w:rsidRPr="00074AA5" w:rsidRDefault="00074AA5" w:rsidP="00074AA5">
      <w:pPr>
        <w:rPr>
          <w:rFonts w:asciiTheme="minorHAnsi" w:hAnsiTheme="minorHAnsi"/>
        </w:rPr>
      </w:pPr>
      <w:r w:rsidRPr="00074AA5">
        <w:rPr>
          <w:rFonts w:asciiTheme="minorHAnsi" w:hAnsiTheme="minorHAnsi"/>
        </w:rPr>
        <w:t xml:space="preserve">The price recovery in the brick market positively impacted the income statement in 2014 at all levels: as stated above, turnover increased by 10% and improved gross profit by 30% as gross margin increased by 5% to 31%. Operating profit from underlying business amounted to £3.0 million, by far the best result since the business floated in 2004. With low borrowings, the interest burden for the Group is modest and the Profit before taxation of £2.6 million exceeded the equivalent figure in 2013 by 6.4 times. </w:t>
      </w:r>
    </w:p>
    <w:p w:rsidR="00074AA5" w:rsidRPr="00074AA5" w:rsidRDefault="00074AA5" w:rsidP="00074AA5">
      <w:pPr>
        <w:rPr>
          <w:rFonts w:asciiTheme="minorHAnsi" w:hAnsiTheme="minorHAnsi"/>
        </w:rPr>
      </w:pPr>
      <w:r w:rsidRPr="00074AA5">
        <w:rPr>
          <w:rFonts w:asciiTheme="minorHAnsi" w:hAnsiTheme="minorHAnsi"/>
        </w:rPr>
        <w:t>These positive results were achieved despite a reduction in contribution from the landfill operations, which halved to £130,000 as a result of a combination of external economic conditions and internal decisions to maximise the lifetime assets and income at the Telford site.</w:t>
      </w:r>
    </w:p>
    <w:p w:rsidR="00074AA5" w:rsidRPr="00074AA5" w:rsidRDefault="00074AA5" w:rsidP="00074AA5">
      <w:pPr>
        <w:rPr>
          <w:rFonts w:asciiTheme="minorHAnsi" w:hAnsiTheme="minorHAnsi"/>
        </w:rPr>
      </w:pPr>
      <w:r w:rsidRPr="00074AA5">
        <w:rPr>
          <w:rFonts w:asciiTheme="minorHAnsi" w:hAnsiTheme="minorHAnsi"/>
        </w:rPr>
        <w:t xml:space="preserve">The income statement has separated the costs of non-underlying events so that the accounts demonstrate better the true performance of the Group. These non-underlying items in 2014 included set-up costs of the </w:t>
      </w:r>
      <w:proofErr w:type="spellStart"/>
      <w:r w:rsidRPr="00074AA5">
        <w:rPr>
          <w:rFonts w:asciiTheme="minorHAnsi" w:hAnsiTheme="minorHAnsi"/>
        </w:rPr>
        <w:t>Freshfield</w:t>
      </w:r>
      <w:proofErr w:type="spellEnd"/>
      <w:r w:rsidRPr="00074AA5">
        <w:rPr>
          <w:rFonts w:asciiTheme="minorHAnsi" w:hAnsiTheme="minorHAnsi"/>
        </w:rPr>
        <w:t xml:space="preserve"> Lane expansion project</w:t>
      </w:r>
      <w:r w:rsidR="00C319BA">
        <w:rPr>
          <w:rFonts w:asciiTheme="minorHAnsi" w:hAnsiTheme="minorHAnsi"/>
        </w:rPr>
        <w:t>, which</w:t>
      </w:r>
      <w:r w:rsidRPr="00074AA5">
        <w:rPr>
          <w:rFonts w:asciiTheme="minorHAnsi" w:hAnsiTheme="minorHAnsi"/>
        </w:rPr>
        <w:t xml:space="preserve"> </w:t>
      </w:r>
      <w:r w:rsidR="00C319BA">
        <w:rPr>
          <w:rFonts w:asciiTheme="minorHAnsi" w:hAnsiTheme="minorHAnsi"/>
        </w:rPr>
        <w:t>is expected to</w:t>
      </w:r>
      <w:r w:rsidRPr="00074AA5">
        <w:rPr>
          <w:rFonts w:asciiTheme="minorHAnsi" w:hAnsiTheme="minorHAnsi"/>
        </w:rPr>
        <w:t xml:space="preserve"> yield benefits in 2015 and beyond. </w:t>
      </w:r>
    </w:p>
    <w:p w:rsidR="00074AA5" w:rsidRPr="00074AA5" w:rsidRDefault="00074AA5" w:rsidP="00074AA5">
      <w:pPr>
        <w:rPr>
          <w:rFonts w:asciiTheme="minorHAnsi" w:hAnsiTheme="minorHAnsi"/>
        </w:rPr>
      </w:pPr>
    </w:p>
    <w:p w:rsidR="00074AA5" w:rsidRPr="00074AA5" w:rsidRDefault="00074AA5" w:rsidP="00074AA5">
      <w:pPr>
        <w:rPr>
          <w:rFonts w:asciiTheme="minorHAnsi" w:hAnsiTheme="minorHAnsi"/>
          <w:b/>
          <w:u w:val="single"/>
        </w:rPr>
      </w:pPr>
      <w:r w:rsidRPr="00074AA5">
        <w:rPr>
          <w:rFonts w:asciiTheme="minorHAnsi" w:hAnsiTheme="minorHAnsi"/>
          <w:b/>
          <w:u w:val="single"/>
        </w:rPr>
        <w:t>Cash and Borrowings</w:t>
      </w:r>
    </w:p>
    <w:p w:rsidR="00074AA5" w:rsidRPr="00074AA5" w:rsidRDefault="00074AA5" w:rsidP="00074AA5">
      <w:pPr>
        <w:rPr>
          <w:rFonts w:asciiTheme="minorHAnsi" w:hAnsiTheme="minorHAnsi"/>
        </w:rPr>
      </w:pPr>
      <w:r w:rsidRPr="00074AA5">
        <w:rPr>
          <w:rFonts w:asciiTheme="minorHAnsi" w:hAnsiTheme="minorHAnsi"/>
        </w:rPr>
        <w:t xml:space="preserve">The Group ended the year with net debt of £2.1 million (2013: £4.2 million) representing gearing of </w:t>
      </w:r>
      <w:proofErr w:type="gramStart"/>
      <w:r w:rsidRPr="00074AA5">
        <w:rPr>
          <w:rFonts w:asciiTheme="minorHAnsi" w:hAnsiTheme="minorHAnsi"/>
        </w:rPr>
        <w:t>under</w:t>
      </w:r>
      <w:proofErr w:type="gramEnd"/>
      <w:r w:rsidRPr="00074AA5">
        <w:rPr>
          <w:rFonts w:asciiTheme="minorHAnsi" w:hAnsiTheme="minorHAnsi"/>
        </w:rPr>
        <w:t xml:space="preserve"> 5%. Cash generated by operations of £2.6 million was supplemented by the second of three tranches of the </w:t>
      </w:r>
      <w:proofErr w:type="spellStart"/>
      <w:r w:rsidRPr="00074AA5">
        <w:rPr>
          <w:rFonts w:asciiTheme="minorHAnsi" w:hAnsiTheme="minorHAnsi"/>
        </w:rPr>
        <w:t>Bovis</w:t>
      </w:r>
      <w:proofErr w:type="spellEnd"/>
      <w:r w:rsidRPr="00074AA5">
        <w:rPr>
          <w:rFonts w:asciiTheme="minorHAnsi" w:hAnsiTheme="minorHAnsi"/>
        </w:rPr>
        <w:t xml:space="preserve"> land sale proceeds of £1.5 million. The Group undertook capital expenditure of just over £2 million in respect of the </w:t>
      </w:r>
      <w:proofErr w:type="spellStart"/>
      <w:r w:rsidRPr="00074AA5">
        <w:rPr>
          <w:rFonts w:asciiTheme="minorHAnsi" w:hAnsiTheme="minorHAnsi"/>
        </w:rPr>
        <w:t>Freshfield</w:t>
      </w:r>
      <w:proofErr w:type="spellEnd"/>
      <w:r w:rsidRPr="00074AA5">
        <w:rPr>
          <w:rFonts w:asciiTheme="minorHAnsi" w:hAnsiTheme="minorHAnsi"/>
        </w:rPr>
        <w:t xml:space="preserve"> Lane expansion project and completion of the Telford reorganisation. </w:t>
      </w:r>
    </w:p>
    <w:p w:rsidR="00074AA5" w:rsidRPr="00074AA5" w:rsidRDefault="00074AA5" w:rsidP="00074AA5">
      <w:pPr>
        <w:rPr>
          <w:rFonts w:asciiTheme="minorHAnsi" w:hAnsiTheme="minorHAnsi"/>
        </w:rPr>
      </w:pPr>
      <w:r w:rsidRPr="00074AA5">
        <w:rPr>
          <w:rFonts w:asciiTheme="minorHAnsi" w:hAnsiTheme="minorHAnsi"/>
        </w:rPr>
        <w:t>The Group has used cash resources to repay all borrowings except a Term Loan of £5 million with Barclays and a small residual hire purchase contract and has ceased the ineffective interest rate cap agreement. The Group generates a strong cash flow from operations and along with the final £1.5 million deferred land sale proceeds, is expected to be in a net positive cash position through 2015 which gives flexibility for capital projects and shareholder distributions.</w:t>
      </w:r>
    </w:p>
    <w:p w:rsidR="00074AA5" w:rsidRPr="00074AA5" w:rsidRDefault="00074AA5" w:rsidP="00074AA5">
      <w:pPr>
        <w:rPr>
          <w:rFonts w:asciiTheme="minorHAnsi" w:hAnsiTheme="minorHAnsi"/>
        </w:rPr>
      </w:pPr>
    </w:p>
    <w:p w:rsidR="00074AA5" w:rsidRPr="00074AA5" w:rsidRDefault="00074AA5" w:rsidP="00074AA5">
      <w:pPr>
        <w:rPr>
          <w:rFonts w:asciiTheme="minorHAnsi" w:hAnsiTheme="minorHAnsi"/>
          <w:b/>
          <w:u w:val="single"/>
        </w:rPr>
      </w:pPr>
      <w:r w:rsidRPr="00074AA5">
        <w:rPr>
          <w:rFonts w:asciiTheme="minorHAnsi" w:hAnsiTheme="minorHAnsi"/>
          <w:b/>
          <w:u w:val="single"/>
        </w:rPr>
        <w:t>Assets and working Capital</w:t>
      </w:r>
    </w:p>
    <w:p w:rsidR="00074AA5" w:rsidRDefault="00074AA5" w:rsidP="00074AA5">
      <w:pPr>
        <w:rPr>
          <w:rFonts w:asciiTheme="minorHAnsi" w:hAnsiTheme="minorHAnsi"/>
        </w:rPr>
      </w:pPr>
      <w:r w:rsidRPr="00074AA5">
        <w:rPr>
          <w:rFonts w:asciiTheme="minorHAnsi" w:hAnsiTheme="minorHAnsi"/>
        </w:rPr>
        <w:lastRenderedPageBreak/>
        <w:t>The Group’s balance sheet is strongly backed by substantial fixed assets of £42 million. Opportunities afforded by surplus land assets continue to be evaluated and their eventual realisation is closer as time passes.  No significant planning or operational events have occurred in the year and prudent valuations have been made by the Directors. Only one asset, the landfill void at Telford, has been subject to a valuation adjustment as a result of a change in the Board’s intended timescale of landfill. As the economic benefit has been deferred for some years, the net present value has reduced and as a result, the carrying value has fallen by £1 million. Net asset value at 31 December 2014 stands at 57.5 pence (2013: £56.3 pence) per share.</w:t>
      </w:r>
    </w:p>
    <w:p w:rsidR="00C95D2C" w:rsidRPr="00074AA5" w:rsidRDefault="00C95D2C" w:rsidP="00074AA5">
      <w:pPr>
        <w:rPr>
          <w:rFonts w:asciiTheme="minorHAnsi" w:hAnsiTheme="minorHAnsi"/>
        </w:rPr>
      </w:pPr>
    </w:p>
    <w:p w:rsidR="00074AA5" w:rsidRPr="00074AA5" w:rsidRDefault="00074AA5" w:rsidP="00074AA5">
      <w:pPr>
        <w:rPr>
          <w:rFonts w:asciiTheme="minorHAnsi" w:hAnsiTheme="minorHAnsi"/>
        </w:rPr>
      </w:pPr>
      <w:r w:rsidRPr="00074AA5">
        <w:rPr>
          <w:rFonts w:asciiTheme="minorHAnsi" w:hAnsiTheme="minorHAnsi"/>
        </w:rPr>
        <w:t>Working capital has increased marginally during 2014 as strong late season sales kept debtors unusually high. Stock levels are now at a level that cannot be reduced much further. Overdraft facilities have been maintained and, alongside cash balances, provide healthy headroom for security and allow investment in capital projects.</w:t>
      </w:r>
    </w:p>
    <w:p w:rsidR="00074AA5" w:rsidRPr="00074AA5" w:rsidRDefault="00074AA5" w:rsidP="00074AA5">
      <w:pPr>
        <w:rPr>
          <w:rFonts w:asciiTheme="minorHAnsi" w:hAnsiTheme="minorHAnsi"/>
        </w:rPr>
      </w:pPr>
    </w:p>
    <w:p w:rsidR="00074AA5" w:rsidRPr="00074AA5" w:rsidRDefault="00074AA5" w:rsidP="00074AA5">
      <w:pPr>
        <w:rPr>
          <w:rFonts w:asciiTheme="minorHAnsi" w:hAnsiTheme="minorHAnsi"/>
          <w:b/>
          <w:u w:val="single"/>
        </w:rPr>
      </w:pPr>
      <w:r w:rsidRPr="00074AA5">
        <w:rPr>
          <w:rFonts w:asciiTheme="minorHAnsi" w:hAnsiTheme="minorHAnsi"/>
          <w:b/>
          <w:u w:val="single"/>
        </w:rPr>
        <w:t>Dividend</w:t>
      </w:r>
    </w:p>
    <w:p w:rsidR="00074AA5" w:rsidRPr="00074AA5" w:rsidRDefault="00074AA5" w:rsidP="00074AA5">
      <w:pPr>
        <w:rPr>
          <w:rFonts w:asciiTheme="minorHAnsi" w:hAnsiTheme="minorHAnsi"/>
        </w:rPr>
      </w:pPr>
      <w:r w:rsidRPr="00074AA5">
        <w:rPr>
          <w:rFonts w:asciiTheme="minorHAnsi" w:hAnsiTheme="minorHAnsi"/>
        </w:rPr>
        <w:t xml:space="preserve">Improved trading, reduced borrowings, strong cash flow and the realisation of revaluation gains have now put the Group in a position where it can recommence dividend payments. The Board are intent upon implementing a sustainable dividend policy that reflects a balance between trading </w:t>
      </w:r>
      <w:proofErr w:type="spellStart"/>
      <w:r w:rsidRPr="00074AA5">
        <w:rPr>
          <w:rFonts w:asciiTheme="minorHAnsi" w:hAnsiTheme="minorHAnsi"/>
        </w:rPr>
        <w:t>cashflow</w:t>
      </w:r>
      <w:proofErr w:type="spellEnd"/>
      <w:r w:rsidRPr="00074AA5">
        <w:rPr>
          <w:rFonts w:asciiTheme="minorHAnsi" w:hAnsiTheme="minorHAnsi"/>
        </w:rPr>
        <w:t xml:space="preserve"> and long-term reinvestment in capital assets. Accordingly, the Board is proposing a dividend of 0.5 pence per share in respect of the financial year ended 31 December 2014. Net debt is likely to be positive by the end of 2015, and the Board will seek to make dividend payments out of trading cash flow annually to establish and maintain a prudent level of dividend cover. </w:t>
      </w:r>
    </w:p>
    <w:p w:rsidR="00074AA5" w:rsidRPr="00074AA5" w:rsidRDefault="00074AA5" w:rsidP="00074AA5">
      <w:pPr>
        <w:rPr>
          <w:rFonts w:asciiTheme="minorHAnsi" w:hAnsiTheme="minorHAnsi"/>
        </w:rPr>
      </w:pPr>
    </w:p>
    <w:p w:rsidR="00074AA5" w:rsidRPr="00074AA5" w:rsidRDefault="00074AA5" w:rsidP="00074AA5">
      <w:pPr>
        <w:rPr>
          <w:rFonts w:asciiTheme="minorHAnsi" w:hAnsiTheme="minorHAnsi"/>
          <w:b/>
          <w:u w:val="single"/>
        </w:rPr>
      </w:pPr>
      <w:r w:rsidRPr="00074AA5">
        <w:rPr>
          <w:rFonts w:asciiTheme="minorHAnsi" w:hAnsiTheme="minorHAnsi"/>
          <w:b/>
          <w:u w:val="single"/>
        </w:rPr>
        <w:t>Land Assets</w:t>
      </w:r>
    </w:p>
    <w:p w:rsidR="00074AA5" w:rsidRPr="00074AA5" w:rsidRDefault="00074AA5" w:rsidP="00074AA5">
      <w:pPr>
        <w:rPr>
          <w:rFonts w:asciiTheme="minorHAnsi" w:hAnsiTheme="minorHAnsi"/>
        </w:rPr>
      </w:pPr>
      <w:r w:rsidRPr="00074AA5">
        <w:rPr>
          <w:rFonts w:asciiTheme="minorHAnsi" w:hAnsiTheme="minorHAnsi"/>
        </w:rPr>
        <w:t>We have received the second tranche of funds from the sale of the former factory site at Telford with a further £1.5 million due in October this year.   We have undertaken a comprehensive review of our clay reserves at this site and based on current production levels believe these will extend in excess of 30 years.  In the light of the improved market for brick manufacture our priority is to maximise this asset and we have therefore taken the decision to cease landfill at this site for the foreseeable future.</w:t>
      </w:r>
    </w:p>
    <w:p w:rsidR="00074AA5" w:rsidRPr="00074AA5" w:rsidRDefault="00074AA5" w:rsidP="00074AA5">
      <w:pPr>
        <w:rPr>
          <w:rFonts w:asciiTheme="minorHAnsi" w:hAnsiTheme="minorHAnsi"/>
        </w:rPr>
      </w:pPr>
      <w:r w:rsidRPr="00074AA5">
        <w:rPr>
          <w:rFonts w:asciiTheme="minorHAnsi" w:hAnsiTheme="minorHAnsi"/>
        </w:rPr>
        <w:t xml:space="preserve">We have now received detailed consent for an additional 20 years of clay supplies at our Michelmersh site.  Our scheme for 200 houses has now been submitted at our quarry site at Charnwood and we continue to progress our application for a landfill licence at our </w:t>
      </w:r>
      <w:proofErr w:type="spellStart"/>
      <w:r w:rsidRPr="00074AA5">
        <w:rPr>
          <w:rFonts w:asciiTheme="minorHAnsi" w:hAnsiTheme="minorHAnsi"/>
        </w:rPr>
        <w:t>Dunton</w:t>
      </w:r>
      <w:proofErr w:type="spellEnd"/>
      <w:r w:rsidRPr="00074AA5">
        <w:rPr>
          <w:rFonts w:asciiTheme="minorHAnsi" w:hAnsiTheme="minorHAnsi"/>
        </w:rPr>
        <w:t xml:space="preserve"> site. </w:t>
      </w:r>
    </w:p>
    <w:p w:rsidR="00074AA5" w:rsidRPr="00074AA5" w:rsidRDefault="00074AA5" w:rsidP="00074AA5">
      <w:pPr>
        <w:rPr>
          <w:rFonts w:asciiTheme="minorHAnsi" w:hAnsiTheme="minorHAnsi"/>
        </w:rPr>
      </w:pPr>
    </w:p>
    <w:p w:rsidR="00074AA5" w:rsidRPr="00074AA5" w:rsidRDefault="00074AA5" w:rsidP="00074AA5">
      <w:pPr>
        <w:rPr>
          <w:rFonts w:asciiTheme="minorHAnsi" w:hAnsiTheme="minorHAnsi"/>
        </w:rPr>
      </w:pPr>
      <w:r w:rsidRPr="00074AA5">
        <w:rPr>
          <w:rFonts w:asciiTheme="minorHAnsi" w:hAnsiTheme="minorHAnsi"/>
        </w:rPr>
        <w:t xml:space="preserve"> </w:t>
      </w:r>
      <w:r w:rsidRPr="00074AA5">
        <w:rPr>
          <w:rFonts w:asciiTheme="minorHAnsi" w:hAnsiTheme="minorHAnsi"/>
          <w:b/>
          <w:u w:val="single"/>
        </w:rPr>
        <w:t>People</w:t>
      </w:r>
    </w:p>
    <w:p w:rsidR="00074AA5" w:rsidRPr="00074AA5" w:rsidRDefault="00074AA5" w:rsidP="00074AA5">
      <w:pPr>
        <w:rPr>
          <w:rFonts w:asciiTheme="minorHAnsi" w:hAnsiTheme="minorHAnsi"/>
        </w:rPr>
      </w:pPr>
      <w:r w:rsidRPr="00074AA5">
        <w:rPr>
          <w:rFonts w:asciiTheme="minorHAnsi" w:hAnsiTheme="minorHAnsi"/>
        </w:rPr>
        <w:t xml:space="preserve">In the past year much work was done to strengthen the business and I would like to thank all our employees for their hard work over the period.  We have successfully recruited for our increased capacity at </w:t>
      </w:r>
      <w:proofErr w:type="spellStart"/>
      <w:r w:rsidRPr="00074AA5">
        <w:rPr>
          <w:rFonts w:asciiTheme="minorHAnsi" w:hAnsiTheme="minorHAnsi"/>
        </w:rPr>
        <w:t>Freshf</w:t>
      </w:r>
      <w:r w:rsidR="00C95D2C">
        <w:rPr>
          <w:rFonts w:asciiTheme="minorHAnsi" w:hAnsiTheme="minorHAnsi"/>
        </w:rPr>
        <w:t>i</w:t>
      </w:r>
      <w:r w:rsidRPr="00074AA5">
        <w:rPr>
          <w:rFonts w:asciiTheme="minorHAnsi" w:hAnsiTheme="minorHAnsi"/>
        </w:rPr>
        <w:t>eld</w:t>
      </w:r>
      <w:proofErr w:type="spellEnd"/>
      <w:r w:rsidRPr="00074AA5">
        <w:rPr>
          <w:rFonts w:asciiTheme="minorHAnsi" w:hAnsiTheme="minorHAnsi"/>
        </w:rPr>
        <w:t xml:space="preserve"> Lane and it is satisfying to anticipate a more stable outlook in the future.</w:t>
      </w:r>
    </w:p>
    <w:p w:rsidR="00074AA5" w:rsidRPr="00074AA5" w:rsidRDefault="00074AA5" w:rsidP="00074AA5">
      <w:pPr>
        <w:rPr>
          <w:rFonts w:asciiTheme="minorHAnsi" w:hAnsiTheme="minorHAnsi"/>
          <w:b/>
          <w:u w:val="single"/>
        </w:rPr>
      </w:pPr>
    </w:p>
    <w:p w:rsidR="00074AA5" w:rsidRPr="00074AA5" w:rsidRDefault="00074AA5" w:rsidP="00074AA5">
      <w:pPr>
        <w:rPr>
          <w:rFonts w:asciiTheme="minorHAnsi" w:hAnsiTheme="minorHAnsi"/>
          <w:b/>
          <w:u w:val="single"/>
        </w:rPr>
      </w:pPr>
      <w:r w:rsidRPr="00074AA5">
        <w:rPr>
          <w:rFonts w:asciiTheme="minorHAnsi" w:hAnsiTheme="minorHAnsi"/>
          <w:b/>
          <w:u w:val="single"/>
        </w:rPr>
        <w:t>Outlook</w:t>
      </w:r>
    </w:p>
    <w:p w:rsidR="00074AA5" w:rsidRPr="00074AA5" w:rsidRDefault="00074AA5" w:rsidP="00074AA5">
      <w:pPr>
        <w:rPr>
          <w:rFonts w:asciiTheme="minorHAnsi" w:hAnsiTheme="minorHAnsi"/>
        </w:rPr>
      </w:pPr>
      <w:r w:rsidRPr="00074AA5">
        <w:rPr>
          <w:rFonts w:asciiTheme="minorHAnsi" w:hAnsiTheme="minorHAnsi"/>
        </w:rPr>
        <w:t xml:space="preserve">Two long anticipated events occurred during 2014: firstly brick industry prices increased for the first time in six years and secondly two of the major UK manufacturers have new overseas owners.  </w:t>
      </w:r>
    </w:p>
    <w:p w:rsidR="00074AA5" w:rsidRPr="00074AA5" w:rsidRDefault="00074AA5" w:rsidP="00074AA5">
      <w:pPr>
        <w:rPr>
          <w:rFonts w:asciiTheme="minorHAnsi" w:hAnsiTheme="minorHAnsi"/>
        </w:rPr>
      </w:pPr>
      <w:r w:rsidRPr="00074AA5">
        <w:rPr>
          <w:rFonts w:asciiTheme="minorHAnsi" w:hAnsiTheme="minorHAnsi"/>
        </w:rPr>
        <w:t>A generational oversupply of bricks has come to an end and the market is now reliant on increasing levels of imports.  The last big industry investments were in the 1980’s and capital will need to be directed to modernise existing works rather than increasing capacity.</w:t>
      </w:r>
    </w:p>
    <w:p w:rsidR="00074AA5" w:rsidRPr="00074AA5" w:rsidRDefault="00074AA5" w:rsidP="00074AA5">
      <w:pPr>
        <w:rPr>
          <w:rFonts w:asciiTheme="minorHAnsi" w:hAnsiTheme="minorHAnsi"/>
        </w:rPr>
      </w:pPr>
      <w:r w:rsidRPr="00074AA5">
        <w:rPr>
          <w:rFonts w:asciiTheme="minorHAnsi" w:hAnsiTheme="minorHAnsi"/>
        </w:rPr>
        <w:t>The current environment brings a new set of challenges with our stocks, and industry stocks, at an all time low.  Bricks are no longer immediately available on demand but we have successfully managed our customers’ requirements and our hallmarks of quality and service will continue to serve us well in the future.</w:t>
      </w:r>
    </w:p>
    <w:p w:rsidR="00074AA5" w:rsidRPr="00074AA5" w:rsidRDefault="00074AA5" w:rsidP="00074AA5">
      <w:pPr>
        <w:rPr>
          <w:rFonts w:asciiTheme="minorHAnsi" w:hAnsiTheme="minorHAnsi"/>
        </w:rPr>
      </w:pPr>
      <w:r w:rsidRPr="00074AA5">
        <w:rPr>
          <w:rFonts w:asciiTheme="minorHAnsi" w:hAnsiTheme="minorHAnsi"/>
        </w:rPr>
        <w:t xml:space="preserve">Michelmersh Brick Holdings is the only UK owned brick manufacturer and places itself in the top end of the market in terms of quality of products and service to customers. With a strong financial </w:t>
      </w:r>
      <w:r w:rsidRPr="00074AA5">
        <w:rPr>
          <w:rFonts w:asciiTheme="minorHAnsi" w:hAnsiTheme="minorHAnsi"/>
        </w:rPr>
        <w:lastRenderedPageBreak/>
        <w:t xml:space="preserve">footing, and in a market that seems set for continued prosperity, we can look forward to increasing profits and meaningful shareholder returns. We have had a strong start to 2015 and, with our well -invested plants, </w:t>
      </w:r>
      <w:r w:rsidR="00EE312E">
        <w:rPr>
          <w:rFonts w:asciiTheme="minorHAnsi" w:hAnsiTheme="minorHAnsi"/>
        </w:rPr>
        <w:t>feel well positioned for the year ahead.</w:t>
      </w:r>
    </w:p>
    <w:p w:rsidR="00074AA5" w:rsidRPr="00074AA5" w:rsidRDefault="00074AA5" w:rsidP="00074AA5">
      <w:pPr>
        <w:rPr>
          <w:rFonts w:asciiTheme="minorHAnsi" w:hAnsiTheme="minorHAnsi"/>
        </w:rPr>
      </w:pPr>
    </w:p>
    <w:p w:rsidR="00074AA5" w:rsidRPr="00074AA5" w:rsidRDefault="00074AA5" w:rsidP="00074AA5">
      <w:pPr>
        <w:rPr>
          <w:rFonts w:asciiTheme="minorHAnsi" w:hAnsiTheme="minorHAnsi"/>
        </w:rPr>
      </w:pPr>
      <w:r w:rsidRPr="00074AA5">
        <w:rPr>
          <w:rFonts w:asciiTheme="minorHAnsi" w:hAnsiTheme="minorHAnsi"/>
        </w:rPr>
        <w:t>Eric Gadsden</w:t>
      </w:r>
    </w:p>
    <w:p w:rsidR="00074AA5" w:rsidRPr="00074AA5" w:rsidRDefault="00074AA5" w:rsidP="00074AA5">
      <w:pPr>
        <w:rPr>
          <w:rFonts w:asciiTheme="minorHAnsi" w:hAnsiTheme="minorHAnsi"/>
        </w:rPr>
      </w:pPr>
      <w:r w:rsidRPr="00074AA5">
        <w:rPr>
          <w:rFonts w:asciiTheme="minorHAnsi" w:hAnsiTheme="minorHAnsi"/>
        </w:rPr>
        <w:t xml:space="preserve">Chairman </w:t>
      </w:r>
    </w:p>
    <w:p w:rsidR="00074AA5" w:rsidRPr="00074AA5" w:rsidRDefault="00074AA5">
      <w:pPr>
        <w:jc w:val="left"/>
        <w:rPr>
          <w:rFonts w:asciiTheme="minorHAnsi" w:hAnsiTheme="minorHAnsi"/>
        </w:rPr>
      </w:pPr>
      <w:r w:rsidRPr="00074AA5">
        <w:rPr>
          <w:rFonts w:asciiTheme="minorHAnsi" w:hAnsiTheme="minorHAnsi"/>
        </w:rPr>
        <w:br w:type="page"/>
      </w:r>
    </w:p>
    <w:p w:rsidR="00074AA5" w:rsidRPr="00074AA5" w:rsidRDefault="00074AA5" w:rsidP="00074AA5">
      <w:pPr>
        <w:rPr>
          <w:rFonts w:asciiTheme="minorHAnsi" w:hAnsiTheme="minorHAnsi"/>
        </w:rPr>
      </w:pPr>
    </w:p>
    <w:p w:rsidR="00074AA5" w:rsidRPr="00074AA5" w:rsidRDefault="00074AA5" w:rsidP="00074AA5">
      <w:pPr>
        <w:rPr>
          <w:rFonts w:asciiTheme="minorHAnsi" w:hAnsiTheme="minorHAnsi"/>
          <w:b/>
          <w:color w:val="000000" w:themeColor="text1"/>
          <w:u w:val="single"/>
        </w:rPr>
      </w:pPr>
      <w:r w:rsidRPr="00074AA5">
        <w:rPr>
          <w:rFonts w:asciiTheme="minorHAnsi" w:hAnsiTheme="minorHAnsi"/>
          <w:b/>
          <w:color w:val="000000" w:themeColor="text1"/>
          <w:u w:val="single"/>
        </w:rPr>
        <w:t>Chief Executive Review</w:t>
      </w:r>
    </w:p>
    <w:p w:rsidR="00074AA5" w:rsidRPr="00074AA5" w:rsidRDefault="00074AA5" w:rsidP="00074AA5">
      <w:pPr>
        <w:rPr>
          <w:rFonts w:asciiTheme="minorHAnsi" w:hAnsiTheme="minorHAnsi"/>
          <w:b/>
          <w:color w:val="000000" w:themeColor="text1"/>
          <w:u w:val="single"/>
        </w:rPr>
      </w:pPr>
    </w:p>
    <w:p w:rsidR="00074AA5" w:rsidRPr="00074AA5" w:rsidRDefault="00074AA5" w:rsidP="00074AA5">
      <w:pPr>
        <w:rPr>
          <w:rFonts w:asciiTheme="minorHAnsi" w:hAnsiTheme="minorHAnsi"/>
          <w:b/>
          <w:color w:val="000000" w:themeColor="text1"/>
          <w:u w:val="single"/>
        </w:rPr>
      </w:pPr>
      <w:r w:rsidRPr="00074AA5">
        <w:rPr>
          <w:rFonts w:asciiTheme="minorHAnsi" w:hAnsiTheme="minorHAnsi"/>
          <w:b/>
          <w:color w:val="000000" w:themeColor="text1"/>
          <w:u w:val="single"/>
        </w:rPr>
        <w:t>Clay Products</w:t>
      </w:r>
    </w:p>
    <w:p w:rsidR="00074AA5" w:rsidRPr="00074AA5" w:rsidRDefault="00074AA5" w:rsidP="00074AA5">
      <w:pPr>
        <w:rPr>
          <w:rFonts w:asciiTheme="minorHAnsi" w:hAnsiTheme="minorHAnsi"/>
        </w:rPr>
      </w:pPr>
      <w:r w:rsidRPr="00074AA5">
        <w:rPr>
          <w:rFonts w:asciiTheme="minorHAnsi" w:hAnsiTheme="minorHAnsi"/>
        </w:rPr>
        <w:t>Demand for our product was strong during 2014. The Group achieved record forward intake figures throughout the year, ensuring robust deliveries into 2015, with some current products currently on over 24 weeks availability. We sold 70 million bricks in the period (2014 71.5 million) against production of 67.5 million (2014 65.4 million) and sales were constrained by capacity for the first time in many years.  Average selling prices increased by 13.5% to £395 per ‘000 (2014: £348) against an industry average increase for the year of 16%.  This is a pleasing increase in light of the premium price enjoyed by our products. </w:t>
      </w:r>
    </w:p>
    <w:p w:rsidR="00074AA5" w:rsidRDefault="00074AA5" w:rsidP="00074AA5">
      <w:pPr>
        <w:rPr>
          <w:rFonts w:asciiTheme="minorHAnsi" w:hAnsiTheme="minorHAnsi"/>
        </w:rPr>
      </w:pPr>
    </w:p>
    <w:p w:rsidR="00074AA5" w:rsidRPr="00074AA5" w:rsidRDefault="00074AA5" w:rsidP="00074AA5">
      <w:pPr>
        <w:rPr>
          <w:rFonts w:asciiTheme="minorHAnsi" w:hAnsiTheme="minorHAnsi"/>
        </w:rPr>
      </w:pPr>
      <w:r w:rsidRPr="00074AA5">
        <w:rPr>
          <w:rFonts w:asciiTheme="minorHAnsi" w:hAnsiTheme="minorHAnsi"/>
        </w:rPr>
        <w:t>We worked hard with our customers to ensure that product delivery schedules during the year were well balanced and in line with production and stock management. The Group achieved a good mix of ‘Repair Maintenance and Improvement’ (“RMI”) projects, specification and new housing work. </w:t>
      </w:r>
    </w:p>
    <w:p w:rsidR="00074AA5" w:rsidRDefault="00074AA5" w:rsidP="00074AA5">
      <w:pPr>
        <w:rPr>
          <w:rFonts w:asciiTheme="minorHAnsi" w:hAnsiTheme="minorHAnsi"/>
        </w:rPr>
      </w:pPr>
    </w:p>
    <w:p w:rsidR="00074AA5" w:rsidRPr="00074AA5" w:rsidRDefault="00074AA5" w:rsidP="00074AA5">
      <w:pPr>
        <w:rPr>
          <w:rFonts w:asciiTheme="minorHAnsi" w:hAnsiTheme="minorHAnsi"/>
        </w:rPr>
      </w:pPr>
      <w:r w:rsidRPr="00074AA5">
        <w:rPr>
          <w:rFonts w:asciiTheme="minorHAnsi" w:hAnsiTheme="minorHAnsi"/>
        </w:rPr>
        <w:t xml:space="preserve">There was success for recently launched new products such as Charnwood's I-Line range. The East Ham Customer Service Centre &amp; Library won the coveted ‘Best Public Building’ at the BDA awards and the completion of the RFU Centre for Athletic Development at Penny Hill Park sparked much positive praise for the new high end product. During 2014 the Group also saw the commencement of other notable schemes such as the contemporary Grosvenor Estates Arts Complex in Southampton and the new junior school complex for St. </w:t>
      </w:r>
      <w:proofErr w:type="spellStart"/>
      <w:r w:rsidRPr="00074AA5">
        <w:rPr>
          <w:rFonts w:asciiTheme="minorHAnsi" w:hAnsiTheme="minorHAnsi"/>
        </w:rPr>
        <w:t>Swithuns</w:t>
      </w:r>
      <w:proofErr w:type="spellEnd"/>
      <w:r w:rsidRPr="00074AA5">
        <w:rPr>
          <w:rFonts w:asciiTheme="minorHAnsi" w:hAnsiTheme="minorHAnsi"/>
        </w:rPr>
        <w:t xml:space="preserve">, the leading girls’ school in Winchester. Many urban regeneration projects continued with new phases being ordered well into 2015 by developers such as Crest Nicholson's Oak Grove and the </w:t>
      </w:r>
      <w:proofErr w:type="spellStart"/>
      <w:r w:rsidRPr="00074AA5">
        <w:rPr>
          <w:rFonts w:asciiTheme="minorHAnsi" w:hAnsiTheme="minorHAnsi"/>
        </w:rPr>
        <w:t>Lendlease</w:t>
      </w:r>
      <w:proofErr w:type="spellEnd"/>
      <w:r w:rsidRPr="00074AA5">
        <w:rPr>
          <w:rFonts w:asciiTheme="minorHAnsi" w:hAnsiTheme="minorHAnsi"/>
        </w:rPr>
        <w:t xml:space="preserve"> Elephant &amp; Castle regeneration project. Our close relationship with developers such as Berkeley Group Holdings Plc, </w:t>
      </w:r>
      <w:proofErr w:type="spellStart"/>
      <w:r w:rsidRPr="00074AA5">
        <w:rPr>
          <w:rFonts w:asciiTheme="minorHAnsi" w:hAnsiTheme="minorHAnsi"/>
        </w:rPr>
        <w:t>Croudace</w:t>
      </w:r>
      <w:proofErr w:type="spellEnd"/>
      <w:r w:rsidRPr="00074AA5">
        <w:rPr>
          <w:rFonts w:asciiTheme="minorHAnsi" w:hAnsiTheme="minorHAnsi"/>
        </w:rPr>
        <w:t xml:space="preserve"> Homes Ltd and </w:t>
      </w:r>
      <w:r w:rsidR="001966AA">
        <w:rPr>
          <w:rFonts w:asciiTheme="minorHAnsi" w:hAnsiTheme="minorHAnsi"/>
        </w:rPr>
        <w:t>Octagon Developments Limited</w:t>
      </w:r>
      <w:r w:rsidRPr="00074AA5">
        <w:rPr>
          <w:rFonts w:asciiTheme="minorHAnsi" w:hAnsiTheme="minorHAnsi"/>
        </w:rPr>
        <w:t xml:space="preserve"> continues, with all delivering much needed high quality housing stock using MBH Group products. The award winning Hill, Ceres CB1 redevelopment in Cambridge also made an impact this year, again delivering unique quality homes. </w:t>
      </w:r>
    </w:p>
    <w:p w:rsidR="00074AA5" w:rsidRPr="00074AA5" w:rsidRDefault="00074AA5" w:rsidP="00074AA5">
      <w:pPr>
        <w:rPr>
          <w:rFonts w:asciiTheme="minorHAnsi" w:hAnsiTheme="minorHAnsi"/>
        </w:rPr>
      </w:pPr>
      <w:r w:rsidRPr="00074AA5">
        <w:rPr>
          <w:rFonts w:asciiTheme="minorHAnsi" w:hAnsiTheme="minorHAnsi"/>
        </w:rPr>
        <w:t xml:space="preserve">We continued to support key merchants and distributors with our robust distribution and partnership policy. </w:t>
      </w:r>
    </w:p>
    <w:p w:rsidR="00074AA5" w:rsidRDefault="00074AA5" w:rsidP="00074AA5">
      <w:pPr>
        <w:rPr>
          <w:rFonts w:asciiTheme="minorHAnsi" w:hAnsiTheme="minorHAnsi"/>
        </w:rPr>
      </w:pPr>
    </w:p>
    <w:p w:rsidR="00074AA5" w:rsidRPr="00074AA5" w:rsidRDefault="00074AA5" w:rsidP="00074AA5">
      <w:pPr>
        <w:rPr>
          <w:rFonts w:asciiTheme="minorHAnsi" w:hAnsiTheme="minorHAnsi"/>
        </w:rPr>
      </w:pPr>
      <w:r w:rsidRPr="00074AA5">
        <w:rPr>
          <w:rFonts w:asciiTheme="minorHAnsi" w:hAnsiTheme="minorHAnsi"/>
        </w:rPr>
        <w:t xml:space="preserve">Overall 2014 was a quieter period for the </w:t>
      </w:r>
      <w:proofErr w:type="spellStart"/>
      <w:r w:rsidRPr="00074AA5">
        <w:rPr>
          <w:rFonts w:asciiTheme="minorHAnsi" w:hAnsiTheme="minorHAnsi"/>
        </w:rPr>
        <w:t>Hathern</w:t>
      </w:r>
      <w:proofErr w:type="spellEnd"/>
      <w:r w:rsidRPr="00074AA5">
        <w:rPr>
          <w:rFonts w:asciiTheme="minorHAnsi" w:hAnsiTheme="minorHAnsi"/>
        </w:rPr>
        <w:t xml:space="preserve"> Terra Cotta </w:t>
      </w:r>
      <w:proofErr w:type="gramStart"/>
      <w:r w:rsidRPr="00074AA5">
        <w:rPr>
          <w:rFonts w:asciiTheme="minorHAnsi" w:hAnsiTheme="minorHAnsi"/>
        </w:rPr>
        <w:t>division,</w:t>
      </w:r>
      <w:proofErr w:type="gramEnd"/>
      <w:r w:rsidRPr="00074AA5">
        <w:rPr>
          <w:rFonts w:asciiTheme="minorHAnsi" w:hAnsiTheme="minorHAnsi"/>
        </w:rPr>
        <w:t xml:space="preserve"> however it finished the year with a strong order intake having completed some intricate high value restoration work for the Jimmy Choo store refurbishment in New Bond St. London, along with Brighton College's stunning new entrance and clock tower.</w:t>
      </w:r>
    </w:p>
    <w:p w:rsidR="00074AA5" w:rsidRDefault="00074AA5" w:rsidP="00074AA5">
      <w:pPr>
        <w:rPr>
          <w:rFonts w:asciiTheme="minorHAnsi" w:hAnsiTheme="minorHAnsi"/>
        </w:rPr>
      </w:pPr>
    </w:p>
    <w:p w:rsidR="00074AA5" w:rsidRPr="00074AA5" w:rsidRDefault="00074AA5" w:rsidP="00074AA5">
      <w:pPr>
        <w:rPr>
          <w:rFonts w:asciiTheme="minorHAnsi" w:hAnsiTheme="minorHAnsi"/>
        </w:rPr>
      </w:pPr>
      <w:r w:rsidRPr="00074AA5">
        <w:rPr>
          <w:rFonts w:asciiTheme="minorHAnsi" w:hAnsiTheme="minorHAnsi"/>
        </w:rPr>
        <w:t>Exports were positive for both our high value specification bricks and pavers with over 600</w:t>
      </w:r>
      <w:r w:rsidR="00821868">
        <w:rPr>
          <w:rFonts w:asciiTheme="minorHAnsi" w:hAnsiTheme="minorHAnsi"/>
        </w:rPr>
        <w:t>,000</w:t>
      </w:r>
      <w:r w:rsidRPr="00074AA5">
        <w:rPr>
          <w:rFonts w:asciiTheme="minorHAnsi" w:hAnsiTheme="minorHAnsi"/>
        </w:rPr>
        <w:t xml:space="preserve"> units going as far a field as Singapore and New York, USA.</w:t>
      </w:r>
    </w:p>
    <w:p w:rsidR="00074AA5" w:rsidRDefault="00074AA5" w:rsidP="00074AA5">
      <w:pPr>
        <w:rPr>
          <w:rFonts w:asciiTheme="minorHAnsi" w:hAnsiTheme="minorHAnsi"/>
        </w:rPr>
      </w:pPr>
    </w:p>
    <w:p w:rsidR="00074AA5" w:rsidRPr="00074AA5" w:rsidRDefault="00074AA5" w:rsidP="00074AA5">
      <w:pPr>
        <w:rPr>
          <w:rFonts w:asciiTheme="minorHAnsi" w:hAnsiTheme="minorHAnsi"/>
        </w:rPr>
      </w:pPr>
      <w:r w:rsidRPr="00074AA5">
        <w:rPr>
          <w:rFonts w:asciiTheme="minorHAnsi" w:hAnsiTheme="minorHAnsi"/>
        </w:rPr>
        <w:t>The drive for efficiency continued within our Central Sales Office as we reviewed our haulage operations, IT and BIM data. Furthermore, we increased our truck fleet capacity with our rolling programme of vehicle replacement.</w:t>
      </w:r>
    </w:p>
    <w:p w:rsidR="00074AA5" w:rsidRDefault="00074AA5" w:rsidP="00074AA5">
      <w:pPr>
        <w:rPr>
          <w:rFonts w:asciiTheme="minorHAnsi" w:hAnsiTheme="minorHAnsi"/>
        </w:rPr>
      </w:pPr>
    </w:p>
    <w:p w:rsidR="00074AA5" w:rsidRPr="00074AA5" w:rsidRDefault="00074AA5" w:rsidP="00074AA5">
      <w:pPr>
        <w:rPr>
          <w:rFonts w:asciiTheme="minorHAnsi" w:hAnsiTheme="minorHAnsi"/>
        </w:rPr>
      </w:pPr>
      <w:r w:rsidRPr="00074AA5">
        <w:rPr>
          <w:rFonts w:asciiTheme="minorHAnsi" w:hAnsiTheme="minorHAnsi"/>
        </w:rPr>
        <w:t>As with previous years, 2014 saw the Group continue it's policy of supporting education through supply of free product, resource and seminars to various colleges in the UK and contributing to the CITB Skill build programme.</w:t>
      </w:r>
    </w:p>
    <w:p w:rsidR="00074AA5" w:rsidRDefault="00074AA5" w:rsidP="00074AA5">
      <w:pPr>
        <w:shd w:val="clear" w:color="auto" w:fill="FFFFFF"/>
        <w:rPr>
          <w:rFonts w:asciiTheme="minorHAnsi" w:hAnsiTheme="minorHAnsi"/>
          <w:color w:val="000000" w:themeColor="text1"/>
        </w:rPr>
      </w:pPr>
    </w:p>
    <w:p w:rsidR="00074AA5" w:rsidRPr="00074AA5" w:rsidRDefault="00074AA5" w:rsidP="00074AA5">
      <w:pPr>
        <w:shd w:val="clear" w:color="auto" w:fill="FFFFFF"/>
        <w:rPr>
          <w:rFonts w:asciiTheme="minorHAnsi" w:hAnsiTheme="minorHAnsi"/>
        </w:rPr>
      </w:pPr>
      <w:r w:rsidRPr="00456C0A">
        <w:rPr>
          <w:rFonts w:asciiTheme="minorHAnsi" w:hAnsiTheme="minorHAnsi"/>
        </w:rPr>
        <w:t xml:space="preserve">In January 2014 we commenced our 20% expansion project at </w:t>
      </w:r>
      <w:proofErr w:type="spellStart"/>
      <w:r w:rsidRPr="00456C0A">
        <w:rPr>
          <w:rFonts w:asciiTheme="minorHAnsi" w:hAnsiTheme="minorHAnsi"/>
        </w:rPr>
        <w:t>Freshfield</w:t>
      </w:r>
      <w:proofErr w:type="spellEnd"/>
      <w:r w:rsidRPr="00456C0A">
        <w:rPr>
          <w:rFonts w:asciiTheme="minorHAnsi" w:hAnsiTheme="minorHAnsi"/>
        </w:rPr>
        <w:t xml:space="preserve"> Lane. The £2.2 million investment extends capacity at the plant by 6 million bricks.  We are pleased that the project was completed within budget and on schedule and the plant now has a capability of producing 36 </w:t>
      </w:r>
      <w:r w:rsidRPr="00456C0A">
        <w:rPr>
          <w:rFonts w:asciiTheme="minorHAnsi" w:hAnsiTheme="minorHAnsi"/>
        </w:rPr>
        <w:lastRenderedPageBreak/>
        <w:t xml:space="preserve">million bricks per annum. The investment encompassed a new clay preparation area, an additional brick making machine, extending drier capacity and the erection of a new ‘clamp’ for firing the bricks. The product output expansion at </w:t>
      </w:r>
      <w:proofErr w:type="spellStart"/>
      <w:r w:rsidRPr="00456C0A">
        <w:rPr>
          <w:rFonts w:asciiTheme="minorHAnsi" w:hAnsiTheme="minorHAnsi"/>
        </w:rPr>
        <w:t>Freshfield</w:t>
      </w:r>
      <w:proofErr w:type="spellEnd"/>
      <w:r w:rsidRPr="00456C0A">
        <w:rPr>
          <w:rFonts w:asciiTheme="minorHAnsi" w:hAnsiTheme="minorHAnsi"/>
        </w:rPr>
        <w:t xml:space="preserve"> Lane has meant that we are now able to build upon and increase our strong regional RMI and SME developer relationships, providing much needed extra capacity to new sites.</w:t>
      </w:r>
    </w:p>
    <w:p w:rsidR="00074AA5" w:rsidRPr="00456C0A" w:rsidRDefault="00074AA5" w:rsidP="00074AA5">
      <w:pPr>
        <w:rPr>
          <w:rFonts w:asciiTheme="minorHAnsi" w:hAnsiTheme="minorHAnsi"/>
        </w:rPr>
      </w:pPr>
      <w:r w:rsidRPr="00456C0A">
        <w:rPr>
          <w:rFonts w:asciiTheme="minorHAnsi" w:hAnsiTheme="minorHAnsi"/>
        </w:rPr>
        <w:t xml:space="preserve">We scheduled a tunnel kiln shutdown at our </w:t>
      </w:r>
      <w:proofErr w:type="spellStart"/>
      <w:r w:rsidRPr="00456C0A">
        <w:rPr>
          <w:rFonts w:asciiTheme="minorHAnsi" w:hAnsiTheme="minorHAnsi"/>
        </w:rPr>
        <w:t>Blockleys</w:t>
      </w:r>
      <w:proofErr w:type="spellEnd"/>
      <w:r w:rsidRPr="00456C0A">
        <w:rPr>
          <w:rFonts w:asciiTheme="minorHAnsi" w:hAnsiTheme="minorHAnsi"/>
        </w:rPr>
        <w:t xml:space="preserve"> plant during December to carry out a major maintenance programme. This consisted of lining and ductwork improvements and long-term preventative maintenance of the mechanical systems. The kiln that had been continuously firing bricks for five years was restarted ahead of schedule delivering an increase over our budgeted output for 2015. </w:t>
      </w:r>
    </w:p>
    <w:p w:rsidR="00074AA5" w:rsidRPr="00456C0A" w:rsidRDefault="00074AA5" w:rsidP="00074AA5">
      <w:pPr>
        <w:rPr>
          <w:rFonts w:asciiTheme="minorHAnsi" w:hAnsiTheme="minorHAnsi"/>
        </w:rPr>
      </w:pPr>
    </w:p>
    <w:p w:rsidR="00074AA5" w:rsidRPr="00074AA5" w:rsidRDefault="00074AA5" w:rsidP="00074AA5">
      <w:pPr>
        <w:rPr>
          <w:rFonts w:asciiTheme="minorHAnsi" w:hAnsiTheme="minorHAnsi"/>
          <w:color w:val="000000" w:themeColor="text1"/>
        </w:rPr>
      </w:pPr>
      <w:r w:rsidRPr="00456C0A">
        <w:rPr>
          <w:rFonts w:asciiTheme="minorHAnsi" w:hAnsiTheme="minorHAnsi"/>
        </w:rPr>
        <w:t xml:space="preserve">Also at </w:t>
      </w:r>
      <w:proofErr w:type="spellStart"/>
      <w:r w:rsidRPr="00456C0A">
        <w:rPr>
          <w:rFonts w:asciiTheme="minorHAnsi" w:hAnsiTheme="minorHAnsi"/>
        </w:rPr>
        <w:t>Blockleys</w:t>
      </w:r>
      <w:proofErr w:type="spellEnd"/>
      <w:r w:rsidRPr="00456C0A">
        <w:rPr>
          <w:rFonts w:asciiTheme="minorHAnsi" w:hAnsiTheme="minorHAnsi"/>
        </w:rPr>
        <w:t xml:space="preserve"> we have this year commenced a £500,000 capital project to upgrade our fired brick packaging facility. This builds on our kiln unloading investment in 2013 and involves the replacement of the original</w:t>
      </w:r>
      <w:r w:rsidRPr="00074AA5">
        <w:rPr>
          <w:rFonts w:asciiTheme="minorHAnsi" w:hAnsiTheme="minorHAnsi"/>
          <w:color w:val="000000" w:themeColor="text1"/>
        </w:rPr>
        <w:t xml:space="preserve"> equipment with a new robotic system and the latest control software. The project will deliver operational cost savings, increased capacity and reduced downtime risk. </w:t>
      </w:r>
    </w:p>
    <w:p w:rsidR="00074AA5" w:rsidRPr="00074AA5" w:rsidRDefault="00074AA5" w:rsidP="00074AA5">
      <w:pPr>
        <w:rPr>
          <w:rFonts w:asciiTheme="minorHAnsi" w:hAnsiTheme="minorHAnsi"/>
          <w:b/>
          <w:color w:val="000000" w:themeColor="text1"/>
          <w:u w:val="single"/>
        </w:rPr>
      </w:pPr>
    </w:p>
    <w:p w:rsidR="00074AA5" w:rsidRPr="00074AA5" w:rsidRDefault="00074AA5" w:rsidP="00074AA5">
      <w:pPr>
        <w:rPr>
          <w:rFonts w:asciiTheme="minorHAnsi" w:hAnsiTheme="minorHAnsi"/>
          <w:b/>
          <w:color w:val="000000" w:themeColor="text1"/>
          <w:u w:val="single"/>
        </w:rPr>
      </w:pPr>
      <w:r w:rsidRPr="00074AA5">
        <w:rPr>
          <w:rFonts w:asciiTheme="minorHAnsi" w:hAnsiTheme="minorHAnsi"/>
          <w:b/>
          <w:color w:val="000000" w:themeColor="text1"/>
          <w:u w:val="single"/>
        </w:rPr>
        <w:t>Management Systems</w:t>
      </w:r>
    </w:p>
    <w:p w:rsidR="00074AA5" w:rsidRPr="00074AA5" w:rsidRDefault="00074AA5" w:rsidP="00074AA5">
      <w:pPr>
        <w:rPr>
          <w:rFonts w:asciiTheme="minorHAnsi" w:hAnsiTheme="minorHAnsi"/>
          <w:color w:val="000000" w:themeColor="text1"/>
        </w:rPr>
      </w:pPr>
      <w:r w:rsidRPr="00074AA5">
        <w:rPr>
          <w:rFonts w:asciiTheme="minorHAnsi" w:hAnsiTheme="minorHAnsi"/>
          <w:color w:val="000000" w:themeColor="text1"/>
        </w:rPr>
        <w:t>Following our successful quality and environmental system review in 2013 we achieved full accreditation to ISO 9001 and ISO 14001 during the period meaning that all of our manufacturing sites operate to these standards.  We are now focusing our efforts on expanding our sustainability and energy management systems to achieve BES 6001 and ISO 50,001.</w:t>
      </w:r>
    </w:p>
    <w:p w:rsidR="00074AA5" w:rsidRPr="00074AA5" w:rsidRDefault="00074AA5" w:rsidP="00074AA5">
      <w:pPr>
        <w:rPr>
          <w:rFonts w:asciiTheme="minorHAnsi" w:hAnsiTheme="minorHAnsi"/>
          <w:b/>
          <w:color w:val="000000" w:themeColor="text1"/>
          <w:u w:val="single"/>
        </w:rPr>
      </w:pPr>
    </w:p>
    <w:p w:rsidR="00074AA5" w:rsidRPr="00074AA5" w:rsidRDefault="00074AA5" w:rsidP="00074AA5">
      <w:pPr>
        <w:rPr>
          <w:rFonts w:asciiTheme="minorHAnsi" w:hAnsiTheme="minorHAnsi"/>
          <w:b/>
          <w:color w:val="000000" w:themeColor="text1"/>
          <w:u w:val="single"/>
        </w:rPr>
      </w:pPr>
      <w:r w:rsidRPr="00074AA5">
        <w:rPr>
          <w:rFonts w:asciiTheme="minorHAnsi" w:hAnsiTheme="minorHAnsi"/>
          <w:b/>
          <w:color w:val="000000" w:themeColor="text1"/>
          <w:u w:val="single"/>
        </w:rPr>
        <w:t>Staff Development</w:t>
      </w:r>
    </w:p>
    <w:p w:rsidR="00074AA5" w:rsidRPr="00074AA5" w:rsidRDefault="00074AA5" w:rsidP="00074AA5">
      <w:pPr>
        <w:rPr>
          <w:rFonts w:asciiTheme="minorHAnsi" w:hAnsiTheme="minorHAnsi"/>
          <w:color w:val="000000" w:themeColor="text1"/>
        </w:rPr>
      </w:pPr>
      <w:r w:rsidRPr="00074AA5">
        <w:rPr>
          <w:rFonts w:asciiTheme="minorHAnsi" w:hAnsiTheme="minorHAnsi"/>
          <w:color w:val="000000" w:themeColor="text1"/>
        </w:rPr>
        <w:t xml:space="preserve">During the year we restructured our operations functions following retirement and succession planning. Our Group is now fully integrated with a highly skilled and focused team that are industry leading with succession and development in place to address the future needs of the business. </w:t>
      </w:r>
    </w:p>
    <w:p w:rsidR="00074AA5" w:rsidRDefault="00074AA5" w:rsidP="00074AA5">
      <w:pPr>
        <w:rPr>
          <w:rFonts w:asciiTheme="minorHAnsi" w:hAnsiTheme="minorHAnsi"/>
          <w:color w:val="000000" w:themeColor="text1"/>
        </w:rPr>
      </w:pPr>
    </w:p>
    <w:p w:rsidR="00074AA5" w:rsidRPr="00074AA5" w:rsidRDefault="00074AA5" w:rsidP="00074AA5">
      <w:pPr>
        <w:rPr>
          <w:rFonts w:asciiTheme="minorHAnsi" w:hAnsiTheme="minorHAnsi"/>
          <w:color w:val="000000" w:themeColor="text1"/>
        </w:rPr>
      </w:pPr>
      <w:r w:rsidRPr="00074AA5">
        <w:rPr>
          <w:rFonts w:asciiTheme="minorHAnsi" w:hAnsiTheme="minorHAnsi"/>
          <w:color w:val="000000" w:themeColor="text1"/>
        </w:rPr>
        <w:t xml:space="preserve">Following on from our successful apprenticeship programmes at Charnwood and </w:t>
      </w:r>
      <w:proofErr w:type="spellStart"/>
      <w:r w:rsidRPr="00074AA5">
        <w:rPr>
          <w:rFonts w:asciiTheme="minorHAnsi" w:hAnsiTheme="minorHAnsi"/>
          <w:color w:val="000000" w:themeColor="text1"/>
        </w:rPr>
        <w:t>Freshfield</w:t>
      </w:r>
      <w:proofErr w:type="spellEnd"/>
      <w:r w:rsidRPr="00074AA5">
        <w:rPr>
          <w:rFonts w:asciiTheme="minorHAnsi" w:hAnsiTheme="minorHAnsi"/>
          <w:color w:val="000000" w:themeColor="text1"/>
        </w:rPr>
        <w:t xml:space="preserve"> Lane we set up a technical engineering programme that started in September 2014 with The Manufactures’ Organisation “EEF”. The two apprentices spend their first year at residential college followed by three years at </w:t>
      </w:r>
      <w:proofErr w:type="spellStart"/>
      <w:r w:rsidRPr="00074AA5">
        <w:rPr>
          <w:rFonts w:asciiTheme="minorHAnsi" w:hAnsiTheme="minorHAnsi"/>
          <w:color w:val="000000" w:themeColor="text1"/>
        </w:rPr>
        <w:t>Blockleys</w:t>
      </w:r>
      <w:proofErr w:type="spellEnd"/>
      <w:r w:rsidRPr="00074AA5">
        <w:rPr>
          <w:rFonts w:asciiTheme="minorHAnsi" w:hAnsiTheme="minorHAnsi"/>
          <w:color w:val="000000" w:themeColor="text1"/>
        </w:rPr>
        <w:t xml:space="preserve"> and Michelmersh. We are currently recruiting two further apprentices to start the programme in September 2015 for Charnwood and </w:t>
      </w:r>
      <w:proofErr w:type="spellStart"/>
      <w:r w:rsidRPr="00074AA5">
        <w:rPr>
          <w:rFonts w:asciiTheme="minorHAnsi" w:hAnsiTheme="minorHAnsi"/>
          <w:color w:val="000000" w:themeColor="text1"/>
        </w:rPr>
        <w:t>Freshfield</w:t>
      </w:r>
      <w:proofErr w:type="spellEnd"/>
      <w:r w:rsidRPr="00074AA5">
        <w:rPr>
          <w:rFonts w:asciiTheme="minorHAnsi" w:hAnsiTheme="minorHAnsi"/>
          <w:color w:val="000000" w:themeColor="text1"/>
        </w:rPr>
        <w:t xml:space="preserve"> Lane. </w:t>
      </w:r>
    </w:p>
    <w:p w:rsidR="00074AA5" w:rsidRDefault="00074AA5" w:rsidP="00074AA5">
      <w:pPr>
        <w:rPr>
          <w:rFonts w:asciiTheme="minorHAnsi" w:hAnsiTheme="minorHAnsi"/>
          <w:color w:val="000000" w:themeColor="text1"/>
        </w:rPr>
      </w:pPr>
    </w:p>
    <w:p w:rsidR="00074AA5" w:rsidRPr="00074AA5" w:rsidRDefault="00074AA5" w:rsidP="00074AA5">
      <w:pPr>
        <w:rPr>
          <w:rFonts w:asciiTheme="minorHAnsi" w:hAnsiTheme="minorHAnsi"/>
          <w:color w:val="000000" w:themeColor="text1"/>
        </w:rPr>
      </w:pPr>
      <w:r w:rsidRPr="00074AA5">
        <w:rPr>
          <w:rFonts w:asciiTheme="minorHAnsi" w:hAnsiTheme="minorHAnsi"/>
          <w:color w:val="000000" w:themeColor="text1"/>
        </w:rPr>
        <w:t>In February this year we added a sustainability manager to our operations team and expanded the existing team roles to include a specific focus on training needs and staff development.</w:t>
      </w:r>
    </w:p>
    <w:p w:rsidR="00074AA5" w:rsidRPr="00074AA5" w:rsidRDefault="00074AA5" w:rsidP="00074AA5">
      <w:pPr>
        <w:rPr>
          <w:rFonts w:asciiTheme="minorHAnsi" w:hAnsiTheme="minorHAnsi"/>
          <w:b/>
          <w:color w:val="000000" w:themeColor="text1"/>
          <w:u w:val="single"/>
        </w:rPr>
      </w:pPr>
    </w:p>
    <w:p w:rsidR="00074AA5" w:rsidRPr="00074AA5" w:rsidRDefault="00074AA5" w:rsidP="00074AA5">
      <w:pPr>
        <w:rPr>
          <w:rFonts w:asciiTheme="minorHAnsi" w:hAnsiTheme="minorHAnsi"/>
          <w:b/>
          <w:color w:val="000000" w:themeColor="text1"/>
          <w:u w:val="single"/>
        </w:rPr>
      </w:pPr>
      <w:r w:rsidRPr="00074AA5">
        <w:rPr>
          <w:rFonts w:asciiTheme="minorHAnsi" w:hAnsiTheme="minorHAnsi"/>
          <w:b/>
          <w:color w:val="000000" w:themeColor="text1"/>
          <w:u w:val="single"/>
        </w:rPr>
        <w:t>Landfill and Land Assets</w:t>
      </w:r>
    </w:p>
    <w:p w:rsidR="00074AA5" w:rsidRPr="00074AA5" w:rsidRDefault="00074AA5" w:rsidP="00074AA5">
      <w:pPr>
        <w:rPr>
          <w:rFonts w:asciiTheme="minorHAnsi" w:hAnsiTheme="minorHAnsi"/>
          <w:color w:val="000000" w:themeColor="text1"/>
        </w:rPr>
      </w:pPr>
      <w:r w:rsidRPr="00074AA5">
        <w:rPr>
          <w:rFonts w:asciiTheme="minorHAnsi" w:hAnsiTheme="minorHAnsi"/>
          <w:color w:val="000000" w:themeColor="text1"/>
        </w:rPr>
        <w:t>Activity at our Telford operations was reduced with turnover of £400,000 (2014: £632,000) on a tonnage of 63,000 (2014: 200,000) at significantly higher rates.  However we have undertaken a comprehensive review of our reserves and now have a robust plan to maximise these.  During this process it became apparent that it would not be possible to continue landfilling at previous rates during the life of the quarry.  In these circumstances and in light of improved brick trading it was decided to shut the landfill at this site for the foreseeable future.</w:t>
      </w:r>
    </w:p>
    <w:p w:rsidR="00074AA5" w:rsidRDefault="00074AA5" w:rsidP="00074AA5">
      <w:pPr>
        <w:rPr>
          <w:rFonts w:asciiTheme="minorHAnsi" w:hAnsiTheme="minorHAnsi"/>
          <w:color w:val="000000" w:themeColor="text1"/>
        </w:rPr>
      </w:pPr>
    </w:p>
    <w:p w:rsidR="00074AA5" w:rsidRPr="00074AA5" w:rsidRDefault="00074AA5" w:rsidP="00074AA5">
      <w:pPr>
        <w:rPr>
          <w:rFonts w:asciiTheme="minorHAnsi" w:hAnsiTheme="minorHAnsi"/>
          <w:color w:val="000000" w:themeColor="text1"/>
        </w:rPr>
      </w:pPr>
      <w:r w:rsidRPr="00074AA5">
        <w:rPr>
          <w:rFonts w:asciiTheme="minorHAnsi" w:hAnsiTheme="minorHAnsi"/>
          <w:color w:val="000000" w:themeColor="text1"/>
        </w:rPr>
        <w:t>We are planning limited landfill at our Charnwood site to restore the quarry to a land form suitable for development later this year. Our application for 200 houses was submitted at the end of 2014 and is now being considered by the Planning Authority.</w:t>
      </w:r>
    </w:p>
    <w:p w:rsidR="00074AA5" w:rsidRDefault="00074AA5" w:rsidP="00074AA5">
      <w:pPr>
        <w:rPr>
          <w:rFonts w:asciiTheme="minorHAnsi" w:hAnsiTheme="minorHAnsi"/>
          <w:color w:val="000000" w:themeColor="text1"/>
        </w:rPr>
      </w:pPr>
    </w:p>
    <w:p w:rsidR="00074AA5" w:rsidRPr="00074AA5" w:rsidRDefault="00074AA5" w:rsidP="00074AA5">
      <w:pPr>
        <w:rPr>
          <w:rFonts w:asciiTheme="minorHAnsi" w:hAnsiTheme="minorHAnsi"/>
          <w:color w:val="000000" w:themeColor="text1"/>
        </w:rPr>
      </w:pPr>
      <w:r w:rsidRPr="00074AA5">
        <w:rPr>
          <w:rFonts w:asciiTheme="minorHAnsi" w:hAnsiTheme="minorHAnsi"/>
          <w:color w:val="000000" w:themeColor="text1"/>
        </w:rPr>
        <w:t xml:space="preserve">We are close to finalising all documentation for a landfill licence in discussion with the Environment Agency at our </w:t>
      </w:r>
      <w:proofErr w:type="spellStart"/>
      <w:r w:rsidRPr="00074AA5">
        <w:rPr>
          <w:rFonts w:asciiTheme="minorHAnsi" w:hAnsiTheme="minorHAnsi"/>
          <w:color w:val="000000" w:themeColor="text1"/>
        </w:rPr>
        <w:t>Dunton</w:t>
      </w:r>
      <w:proofErr w:type="spellEnd"/>
      <w:r w:rsidRPr="00074AA5">
        <w:rPr>
          <w:rFonts w:asciiTheme="minorHAnsi" w:hAnsiTheme="minorHAnsi"/>
          <w:color w:val="000000" w:themeColor="text1"/>
        </w:rPr>
        <w:t xml:space="preserve"> site and will consider options to maximise this asset during the course of the year.</w:t>
      </w:r>
    </w:p>
    <w:p w:rsidR="00074AA5" w:rsidRPr="00074AA5" w:rsidRDefault="00074AA5" w:rsidP="00074AA5">
      <w:pPr>
        <w:rPr>
          <w:rFonts w:asciiTheme="minorHAnsi" w:hAnsiTheme="minorHAnsi"/>
          <w:color w:val="000000" w:themeColor="text1"/>
        </w:rPr>
      </w:pPr>
      <w:r w:rsidRPr="00074AA5">
        <w:rPr>
          <w:rFonts w:asciiTheme="minorHAnsi" w:hAnsiTheme="minorHAnsi"/>
          <w:color w:val="000000" w:themeColor="text1"/>
        </w:rPr>
        <w:lastRenderedPageBreak/>
        <w:t>Finally we have received detailed planning consent for additional clay extraction at our Michelmersh site which secures many years of reserves at the site and allows us to consider investment in plant and processes to increase efficiency and reduce risks of breakdown.</w:t>
      </w:r>
    </w:p>
    <w:p w:rsidR="00074AA5" w:rsidRPr="00074AA5" w:rsidRDefault="00074AA5" w:rsidP="00074AA5">
      <w:pPr>
        <w:rPr>
          <w:rFonts w:asciiTheme="minorHAnsi" w:hAnsiTheme="minorHAnsi"/>
          <w:color w:val="000000" w:themeColor="text1"/>
        </w:rPr>
      </w:pPr>
    </w:p>
    <w:p w:rsidR="00074AA5" w:rsidRPr="00074AA5" w:rsidRDefault="00074AA5" w:rsidP="00074AA5">
      <w:pPr>
        <w:rPr>
          <w:rFonts w:asciiTheme="minorHAnsi" w:hAnsiTheme="minorHAnsi"/>
          <w:b/>
          <w:color w:val="000000" w:themeColor="text1"/>
          <w:u w:val="single"/>
        </w:rPr>
      </w:pPr>
      <w:r w:rsidRPr="00074AA5">
        <w:rPr>
          <w:rFonts w:asciiTheme="minorHAnsi" w:hAnsiTheme="minorHAnsi"/>
          <w:b/>
          <w:color w:val="000000" w:themeColor="text1"/>
          <w:u w:val="single"/>
        </w:rPr>
        <w:t>Outlook</w:t>
      </w:r>
    </w:p>
    <w:p w:rsidR="00074AA5" w:rsidRPr="00074AA5" w:rsidRDefault="00074AA5" w:rsidP="00074AA5">
      <w:pPr>
        <w:rPr>
          <w:rFonts w:asciiTheme="minorHAnsi" w:hAnsiTheme="minorHAnsi"/>
          <w:color w:val="000000" w:themeColor="text1"/>
        </w:rPr>
      </w:pPr>
      <w:r w:rsidRPr="00074AA5">
        <w:rPr>
          <w:rFonts w:asciiTheme="minorHAnsi" w:hAnsiTheme="minorHAnsi"/>
          <w:color w:val="000000" w:themeColor="text1"/>
        </w:rPr>
        <w:t xml:space="preserve">With house building recovering from low levels and a continued need for new housing the business is now set to make further progress.  </w:t>
      </w:r>
    </w:p>
    <w:p w:rsidR="00074AA5" w:rsidRDefault="00074AA5" w:rsidP="00074AA5">
      <w:pPr>
        <w:rPr>
          <w:rFonts w:asciiTheme="minorHAnsi" w:hAnsiTheme="minorHAnsi"/>
          <w:color w:val="000000" w:themeColor="text1"/>
        </w:rPr>
      </w:pPr>
    </w:p>
    <w:p w:rsidR="00074AA5" w:rsidRPr="00074AA5" w:rsidRDefault="00074AA5" w:rsidP="00074AA5">
      <w:pPr>
        <w:rPr>
          <w:rFonts w:asciiTheme="minorHAnsi" w:hAnsiTheme="minorHAnsi"/>
          <w:color w:val="000000" w:themeColor="text1"/>
        </w:rPr>
      </w:pPr>
      <w:r w:rsidRPr="00074AA5">
        <w:rPr>
          <w:rFonts w:asciiTheme="minorHAnsi" w:hAnsiTheme="minorHAnsi"/>
          <w:color w:val="000000" w:themeColor="text1"/>
        </w:rPr>
        <w:t>Over the course of the next few months we will start to see the benefit of improved production, pricing structures and market dynamics benefit our business.</w:t>
      </w:r>
    </w:p>
    <w:p w:rsidR="00074AA5" w:rsidRDefault="00074AA5" w:rsidP="00074AA5">
      <w:pPr>
        <w:rPr>
          <w:rFonts w:asciiTheme="minorHAnsi" w:hAnsiTheme="minorHAnsi"/>
          <w:color w:val="000000" w:themeColor="text1"/>
        </w:rPr>
      </w:pPr>
    </w:p>
    <w:p w:rsidR="00074AA5" w:rsidRPr="00074AA5" w:rsidRDefault="00074AA5" w:rsidP="00074AA5">
      <w:pPr>
        <w:rPr>
          <w:rFonts w:asciiTheme="minorHAnsi" w:hAnsiTheme="minorHAnsi"/>
          <w:color w:val="000000" w:themeColor="text1"/>
        </w:rPr>
      </w:pPr>
      <w:r w:rsidRPr="00074AA5">
        <w:rPr>
          <w:rFonts w:asciiTheme="minorHAnsi" w:hAnsiTheme="minorHAnsi"/>
          <w:color w:val="000000" w:themeColor="text1"/>
        </w:rPr>
        <w:t>Although we are well invested there will be opportunities to further enhance and future proof our facilities and with our strong cash position we are looking to continue to make marginal improvements wherever possible.</w:t>
      </w:r>
    </w:p>
    <w:p w:rsidR="00074AA5" w:rsidRDefault="00074AA5" w:rsidP="00074AA5">
      <w:pPr>
        <w:rPr>
          <w:rFonts w:asciiTheme="minorHAnsi" w:hAnsiTheme="minorHAnsi"/>
          <w:color w:val="000000" w:themeColor="text1"/>
        </w:rPr>
      </w:pPr>
    </w:p>
    <w:p w:rsidR="00074AA5" w:rsidRPr="00074AA5" w:rsidRDefault="00074AA5" w:rsidP="00074AA5">
      <w:pPr>
        <w:rPr>
          <w:rFonts w:asciiTheme="minorHAnsi" w:hAnsiTheme="minorHAnsi"/>
          <w:color w:val="000000" w:themeColor="text1"/>
        </w:rPr>
      </w:pPr>
      <w:r w:rsidRPr="00074AA5">
        <w:rPr>
          <w:rFonts w:asciiTheme="minorHAnsi" w:hAnsiTheme="minorHAnsi"/>
          <w:color w:val="000000" w:themeColor="text1"/>
        </w:rPr>
        <w:t>We continue to strengthen our market position in a highly capital intensive industry with huge barriers to entry.  Increased reliance on imports underlines brick as the material of choice for owners, developers and lenders.</w:t>
      </w:r>
    </w:p>
    <w:p w:rsidR="00074AA5" w:rsidRDefault="00074AA5" w:rsidP="00074AA5">
      <w:pPr>
        <w:rPr>
          <w:rFonts w:asciiTheme="minorHAnsi" w:hAnsiTheme="minorHAnsi"/>
          <w:color w:val="000000" w:themeColor="text1"/>
        </w:rPr>
      </w:pPr>
    </w:p>
    <w:p w:rsidR="00074AA5" w:rsidRPr="00074AA5" w:rsidRDefault="00074AA5" w:rsidP="00074AA5">
      <w:pPr>
        <w:rPr>
          <w:rFonts w:asciiTheme="minorHAnsi" w:hAnsiTheme="minorHAnsi"/>
          <w:color w:val="000000" w:themeColor="text1"/>
        </w:rPr>
      </w:pPr>
      <w:r w:rsidRPr="00074AA5">
        <w:rPr>
          <w:rFonts w:asciiTheme="minorHAnsi" w:hAnsiTheme="minorHAnsi"/>
          <w:color w:val="000000" w:themeColor="text1"/>
        </w:rPr>
        <w:t xml:space="preserve">It is to be hoped that we are now in a period where the true worth of this product for its appearance, longevity, sustainability, flexibility in use and low maintenance requirement will be properly valued. </w:t>
      </w:r>
    </w:p>
    <w:p w:rsidR="00074AA5" w:rsidRPr="00074AA5" w:rsidRDefault="00074AA5" w:rsidP="00074AA5">
      <w:pPr>
        <w:rPr>
          <w:rFonts w:asciiTheme="minorHAnsi" w:hAnsiTheme="minorHAnsi"/>
        </w:rPr>
      </w:pPr>
    </w:p>
    <w:p w:rsidR="00074AA5" w:rsidRPr="00074AA5" w:rsidRDefault="00074AA5" w:rsidP="00074AA5">
      <w:pPr>
        <w:rPr>
          <w:rFonts w:asciiTheme="minorHAnsi" w:hAnsiTheme="minorHAnsi"/>
        </w:rPr>
      </w:pPr>
      <w:r w:rsidRPr="00074AA5">
        <w:rPr>
          <w:rFonts w:asciiTheme="minorHAnsi" w:hAnsiTheme="minorHAnsi"/>
        </w:rPr>
        <w:t>Martin Warner</w:t>
      </w:r>
    </w:p>
    <w:p w:rsidR="00074AA5" w:rsidRPr="00074AA5" w:rsidRDefault="00074AA5" w:rsidP="00074AA5">
      <w:pPr>
        <w:rPr>
          <w:rFonts w:asciiTheme="minorHAnsi" w:hAnsiTheme="minorHAnsi"/>
        </w:rPr>
      </w:pPr>
      <w:r w:rsidRPr="00074AA5">
        <w:rPr>
          <w:rFonts w:asciiTheme="minorHAnsi" w:hAnsiTheme="minorHAnsi"/>
        </w:rPr>
        <w:t xml:space="preserve">Chief Executive </w:t>
      </w:r>
    </w:p>
    <w:p w:rsidR="00074AA5" w:rsidRDefault="00074AA5">
      <w:pPr>
        <w:jc w:val="left"/>
        <w:rPr>
          <w:b/>
          <w:color w:val="000000" w:themeColor="text1"/>
          <w:u w:val="single"/>
        </w:rPr>
      </w:pPr>
      <w:r>
        <w:rPr>
          <w:b/>
          <w:color w:val="000000" w:themeColor="text1"/>
          <w:u w:val="single"/>
        </w:rPr>
        <w:br w:type="page"/>
      </w:r>
    </w:p>
    <w:p w:rsidR="00074AA5" w:rsidRPr="00C73C55" w:rsidRDefault="00074AA5" w:rsidP="00074AA5">
      <w:pPr>
        <w:rPr>
          <w:b/>
          <w:color w:val="000000" w:themeColor="text1"/>
          <w:u w:val="single"/>
        </w:rPr>
      </w:pPr>
    </w:p>
    <w:p w:rsidR="000825E9" w:rsidRDefault="004C12B8" w:rsidP="000825E9">
      <w:pPr>
        <w:rPr>
          <w:rFonts w:asciiTheme="minorHAnsi" w:hAnsiTheme="minorHAnsi"/>
          <w:b/>
        </w:rPr>
      </w:pPr>
      <w:r>
        <w:rPr>
          <w:rFonts w:asciiTheme="minorHAnsi" w:hAnsiTheme="minorHAnsi"/>
          <w:b/>
        </w:rPr>
        <w:t>Consolidated Income Statement</w:t>
      </w:r>
    </w:p>
    <w:p w:rsidR="004C12B8" w:rsidRPr="00DE2AC3" w:rsidRDefault="004C12B8" w:rsidP="000825E9">
      <w:pPr>
        <w:rPr>
          <w:rFonts w:asciiTheme="minorHAnsi" w:hAnsiTheme="minorHAnsi"/>
          <w:b/>
        </w:rPr>
      </w:pPr>
      <w:r>
        <w:rPr>
          <w:rFonts w:asciiTheme="minorHAnsi" w:hAnsiTheme="minorHAnsi"/>
          <w:b/>
        </w:rPr>
        <w:t>For the year ended 31 December 2014</w:t>
      </w:r>
    </w:p>
    <w:tbl>
      <w:tblPr>
        <w:tblStyle w:val="TableGrid"/>
        <w:tblW w:w="0" w:type="auto"/>
        <w:tblLayout w:type="fixed"/>
        <w:tblLook w:val="04A0" w:firstRow="1" w:lastRow="0" w:firstColumn="1" w:lastColumn="0" w:noHBand="0" w:noVBand="1"/>
      </w:tblPr>
      <w:tblGrid>
        <w:gridCol w:w="3085"/>
        <w:gridCol w:w="618"/>
        <w:gridCol w:w="1043"/>
        <w:gridCol w:w="1043"/>
        <w:gridCol w:w="1043"/>
        <w:gridCol w:w="1043"/>
        <w:gridCol w:w="1043"/>
        <w:gridCol w:w="1044"/>
      </w:tblGrid>
      <w:tr w:rsidR="00423C65" w:rsidTr="00D1027A">
        <w:tc>
          <w:tcPr>
            <w:tcW w:w="3085" w:type="dxa"/>
            <w:tcBorders>
              <w:top w:val="nil"/>
              <w:left w:val="nil"/>
              <w:bottom w:val="nil"/>
              <w:right w:val="nil"/>
            </w:tcBorders>
          </w:tcPr>
          <w:p w:rsidR="00423C65" w:rsidRDefault="00423C65" w:rsidP="004C12B8">
            <w:pPr>
              <w:jc w:val="left"/>
              <w:rPr>
                <w:rFonts w:asciiTheme="minorHAnsi" w:hAnsiTheme="minorHAnsi" w:cs="Arial"/>
                <w:b/>
                <w:bCs/>
                <w:color w:val="000000"/>
                <w:sz w:val="20"/>
                <w:szCs w:val="20"/>
                <w:lang w:eastAsia="en-GB"/>
              </w:rPr>
            </w:pPr>
          </w:p>
        </w:tc>
        <w:tc>
          <w:tcPr>
            <w:tcW w:w="618" w:type="dxa"/>
            <w:tcBorders>
              <w:top w:val="nil"/>
              <w:left w:val="nil"/>
              <w:bottom w:val="nil"/>
              <w:right w:val="nil"/>
            </w:tcBorders>
          </w:tcPr>
          <w:p w:rsidR="00423C65" w:rsidRPr="00423C65" w:rsidRDefault="00423C65" w:rsidP="00423C65">
            <w:pPr>
              <w:jc w:val="center"/>
              <w:rPr>
                <w:rFonts w:asciiTheme="minorHAnsi" w:hAnsiTheme="minorHAnsi" w:cs="Arial"/>
                <w:b/>
                <w:bCs/>
                <w:color w:val="000000"/>
                <w:sz w:val="16"/>
                <w:szCs w:val="16"/>
                <w:lang w:eastAsia="en-GB"/>
              </w:rPr>
            </w:pPr>
          </w:p>
        </w:tc>
        <w:tc>
          <w:tcPr>
            <w:tcW w:w="1043" w:type="dxa"/>
            <w:tcBorders>
              <w:top w:val="nil"/>
              <w:left w:val="nil"/>
              <w:bottom w:val="nil"/>
              <w:right w:val="nil"/>
            </w:tcBorders>
          </w:tcPr>
          <w:p w:rsidR="00423C65" w:rsidRPr="00423C65" w:rsidRDefault="00423C65" w:rsidP="00423C65">
            <w:pPr>
              <w:jc w:val="center"/>
              <w:rPr>
                <w:rFonts w:asciiTheme="minorHAnsi" w:hAnsiTheme="minorHAnsi" w:cs="Arial"/>
                <w:b/>
                <w:bCs/>
                <w:color w:val="000000"/>
                <w:sz w:val="18"/>
                <w:szCs w:val="18"/>
                <w:lang w:eastAsia="en-GB"/>
              </w:rPr>
            </w:pPr>
            <w:r w:rsidRPr="00423C65">
              <w:rPr>
                <w:rFonts w:asciiTheme="minorHAnsi" w:hAnsiTheme="minorHAnsi" w:cs="Arial"/>
                <w:b/>
                <w:bCs/>
                <w:color w:val="000000"/>
                <w:sz w:val="18"/>
                <w:szCs w:val="18"/>
                <w:lang w:eastAsia="en-GB"/>
              </w:rPr>
              <w:t>Underlying</w:t>
            </w:r>
          </w:p>
        </w:tc>
        <w:tc>
          <w:tcPr>
            <w:tcW w:w="1043" w:type="dxa"/>
            <w:tcBorders>
              <w:top w:val="nil"/>
              <w:left w:val="nil"/>
              <w:bottom w:val="nil"/>
              <w:right w:val="nil"/>
            </w:tcBorders>
          </w:tcPr>
          <w:p w:rsidR="00423C65" w:rsidRPr="00423C65" w:rsidRDefault="00423C65" w:rsidP="00423C65">
            <w:pPr>
              <w:jc w:val="center"/>
              <w:rPr>
                <w:rFonts w:asciiTheme="minorHAnsi" w:hAnsiTheme="minorHAnsi" w:cs="Arial"/>
                <w:b/>
                <w:bCs/>
                <w:color w:val="000000"/>
                <w:sz w:val="18"/>
                <w:szCs w:val="18"/>
                <w:lang w:eastAsia="en-GB"/>
              </w:rPr>
            </w:pPr>
            <w:r w:rsidRPr="00423C65">
              <w:rPr>
                <w:rFonts w:asciiTheme="minorHAnsi" w:hAnsiTheme="minorHAnsi" w:cs="Arial"/>
                <w:b/>
                <w:bCs/>
                <w:color w:val="000000"/>
                <w:sz w:val="18"/>
                <w:szCs w:val="18"/>
                <w:lang w:eastAsia="en-GB"/>
              </w:rPr>
              <w:t>Non-underlying</w:t>
            </w:r>
          </w:p>
        </w:tc>
        <w:tc>
          <w:tcPr>
            <w:tcW w:w="1043" w:type="dxa"/>
            <w:tcBorders>
              <w:top w:val="nil"/>
              <w:left w:val="nil"/>
              <w:bottom w:val="nil"/>
              <w:right w:val="nil"/>
            </w:tcBorders>
          </w:tcPr>
          <w:p w:rsidR="00423C65" w:rsidRPr="00423C65" w:rsidRDefault="00423C65" w:rsidP="00423C65">
            <w:pPr>
              <w:jc w:val="center"/>
              <w:rPr>
                <w:rFonts w:asciiTheme="minorHAnsi" w:hAnsiTheme="minorHAnsi" w:cs="Arial"/>
                <w:b/>
                <w:bCs/>
                <w:color w:val="000000"/>
                <w:sz w:val="18"/>
                <w:szCs w:val="18"/>
                <w:lang w:eastAsia="en-GB"/>
              </w:rPr>
            </w:pPr>
          </w:p>
        </w:tc>
        <w:tc>
          <w:tcPr>
            <w:tcW w:w="1043" w:type="dxa"/>
            <w:tcBorders>
              <w:top w:val="nil"/>
              <w:left w:val="nil"/>
              <w:bottom w:val="nil"/>
              <w:right w:val="nil"/>
            </w:tcBorders>
          </w:tcPr>
          <w:p w:rsidR="00423C65" w:rsidRPr="00423C65" w:rsidRDefault="00423C65" w:rsidP="003B1B2D">
            <w:pPr>
              <w:jc w:val="center"/>
              <w:rPr>
                <w:rFonts w:asciiTheme="minorHAnsi" w:hAnsiTheme="minorHAnsi" w:cs="Arial"/>
                <w:b/>
                <w:bCs/>
                <w:color w:val="000000"/>
                <w:sz w:val="18"/>
                <w:szCs w:val="18"/>
                <w:lang w:eastAsia="en-GB"/>
              </w:rPr>
            </w:pPr>
            <w:r w:rsidRPr="00423C65">
              <w:rPr>
                <w:rFonts w:asciiTheme="minorHAnsi" w:hAnsiTheme="minorHAnsi" w:cs="Arial"/>
                <w:b/>
                <w:bCs/>
                <w:color w:val="000000"/>
                <w:sz w:val="18"/>
                <w:szCs w:val="18"/>
                <w:lang w:eastAsia="en-GB"/>
              </w:rPr>
              <w:t>Underlying</w:t>
            </w:r>
          </w:p>
        </w:tc>
        <w:tc>
          <w:tcPr>
            <w:tcW w:w="1043" w:type="dxa"/>
            <w:tcBorders>
              <w:top w:val="nil"/>
              <w:left w:val="nil"/>
              <w:bottom w:val="nil"/>
              <w:right w:val="nil"/>
            </w:tcBorders>
          </w:tcPr>
          <w:p w:rsidR="00423C65" w:rsidRPr="00423C65" w:rsidRDefault="00423C65" w:rsidP="003B1B2D">
            <w:pPr>
              <w:jc w:val="center"/>
              <w:rPr>
                <w:rFonts w:asciiTheme="minorHAnsi" w:hAnsiTheme="minorHAnsi" w:cs="Arial"/>
                <w:b/>
                <w:bCs/>
                <w:color w:val="000000"/>
                <w:sz w:val="18"/>
                <w:szCs w:val="18"/>
                <w:lang w:eastAsia="en-GB"/>
              </w:rPr>
            </w:pPr>
            <w:r w:rsidRPr="00423C65">
              <w:rPr>
                <w:rFonts w:asciiTheme="minorHAnsi" w:hAnsiTheme="minorHAnsi" w:cs="Arial"/>
                <w:b/>
                <w:bCs/>
                <w:color w:val="000000"/>
                <w:sz w:val="18"/>
                <w:szCs w:val="18"/>
                <w:lang w:eastAsia="en-GB"/>
              </w:rPr>
              <w:t>Non-underlying</w:t>
            </w:r>
          </w:p>
        </w:tc>
        <w:tc>
          <w:tcPr>
            <w:tcW w:w="1044" w:type="dxa"/>
            <w:tcBorders>
              <w:top w:val="nil"/>
              <w:left w:val="nil"/>
              <w:bottom w:val="nil"/>
              <w:right w:val="nil"/>
            </w:tcBorders>
          </w:tcPr>
          <w:p w:rsidR="00423C65" w:rsidRPr="00423C65" w:rsidRDefault="00423C65" w:rsidP="00423C65">
            <w:pPr>
              <w:jc w:val="center"/>
              <w:rPr>
                <w:rFonts w:asciiTheme="minorHAnsi" w:hAnsiTheme="minorHAnsi" w:cs="Arial"/>
                <w:b/>
                <w:bCs/>
                <w:color w:val="000000"/>
                <w:sz w:val="18"/>
                <w:szCs w:val="18"/>
                <w:lang w:eastAsia="en-GB"/>
              </w:rPr>
            </w:pPr>
          </w:p>
        </w:tc>
      </w:tr>
      <w:tr w:rsidR="00423C65" w:rsidTr="00D1027A">
        <w:tc>
          <w:tcPr>
            <w:tcW w:w="3085" w:type="dxa"/>
            <w:tcBorders>
              <w:top w:val="nil"/>
              <w:left w:val="nil"/>
              <w:bottom w:val="nil"/>
              <w:right w:val="nil"/>
            </w:tcBorders>
          </w:tcPr>
          <w:p w:rsidR="00423C65" w:rsidRDefault="00423C65" w:rsidP="004C12B8">
            <w:pPr>
              <w:jc w:val="left"/>
              <w:rPr>
                <w:rFonts w:asciiTheme="minorHAnsi" w:hAnsiTheme="minorHAnsi" w:cs="Arial"/>
                <w:b/>
                <w:bCs/>
                <w:color w:val="000000"/>
                <w:sz w:val="20"/>
                <w:szCs w:val="20"/>
                <w:lang w:eastAsia="en-GB"/>
              </w:rPr>
            </w:pPr>
          </w:p>
        </w:tc>
        <w:tc>
          <w:tcPr>
            <w:tcW w:w="618" w:type="dxa"/>
            <w:tcBorders>
              <w:top w:val="nil"/>
              <w:left w:val="nil"/>
              <w:bottom w:val="nil"/>
              <w:right w:val="nil"/>
            </w:tcBorders>
          </w:tcPr>
          <w:p w:rsidR="00423C65" w:rsidRDefault="00423C65" w:rsidP="004C12B8">
            <w:pPr>
              <w:jc w:val="left"/>
              <w:rPr>
                <w:rFonts w:asciiTheme="minorHAnsi" w:hAnsiTheme="minorHAnsi" w:cs="Arial"/>
                <w:b/>
                <w:bCs/>
                <w:color w:val="000000"/>
                <w:sz w:val="20"/>
                <w:szCs w:val="20"/>
                <w:lang w:eastAsia="en-GB"/>
              </w:rPr>
            </w:pPr>
          </w:p>
        </w:tc>
        <w:tc>
          <w:tcPr>
            <w:tcW w:w="1043" w:type="dxa"/>
            <w:tcBorders>
              <w:top w:val="nil"/>
              <w:left w:val="nil"/>
              <w:bottom w:val="nil"/>
              <w:right w:val="nil"/>
            </w:tcBorders>
          </w:tcPr>
          <w:p w:rsidR="00423C65" w:rsidRDefault="00423C65" w:rsidP="00423C65">
            <w:pPr>
              <w:jc w:val="center"/>
              <w:rPr>
                <w:rFonts w:asciiTheme="minorHAnsi" w:hAnsiTheme="minorHAnsi" w:cs="Arial"/>
                <w:b/>
                <w:bCs/>
                <w:color w:val="000000"/>
                <w:sz w:val="20"/>
                <w:szCs w:val="20"/>
                <w:lang w:eastAsia="en-GB"/>
              </w:rPr>
            </w:pPr>
            <w:r>
              <w:rPr>
                <w:rFonts w:asciiTheme="minorHAnsi" w:hAnsiTheme="minorHAnsi" w:cs="Arial"/>
                <w:b/>
                <w:bCs/>
                <w:color w:val="000000"/>
                <w:sz w:val="20"/>
                <w:szCs w:val="20"/>
                <w:lang w:eastAsia="en-GB"/>
              </w:rPr>
              <w:t>2014</w:t>
            </w:r>
          </w:p>
        </w:tc>
        <w:tc>
          <w:tcPr>
            <w:tcW w:w="1043" w:type="dxa"/>
            <w:tcBorders>
              <w:top w:val="nil"/>
              <w:left w:val="nil"/>
              <w:bottom w:val="nil"/>
              <w:right w:val="nil"/>
            </w:tcBorders>
          </w:tcPr>
          <w:p w:rsidR="00423C65" w:rsidRDefault="00423C65" w:rsidP="00423C65">
            <w:pPr>
              <w:jc w:val="center"/>
              <w:rPr>
                <w:rFonts w:asciiTheme="minorHAnsi" w:hAnsiTheme="minorHAnsi" w:cs="Arial"/>
                <w:b/>
                <w:bCs/>
                <w:color w:val="000000"/>
                <w:sz w:val="20"/>
                <w:szCs w:val="20"/>
                <w:lang w:eastAsia="en-GB"/>
              </w:rPr>
            </w:pPr>
            <w:r>
              <w:rPr>
                <w:rFonts w:asciiTheme="minorHAnsi" w:hAnsiTheme="minorHAnsi" w:cs="Arial"/>
                <w:b/>
                <w:bCs/>
                <w:color w:val="000000"/>
                <w:sz w:val="20"/>
                <w:szCs w:val="20"/>
                <w:lang w:eastAsia="en-GB"/>
              </w:rPr>
              <w:t>2014</w:t>
            </w:r>
          </w:p>
        </w:tc>
        <w:tc>
          <w:tcPr>
            <w:tcW w:w="1043" w:type="dxa"/>
            <w:tcBorders>
              <w:top w:val="nil"/>
              <w:left w:val="nil"/>
              <w:bottom w:val="nil"/>
              <w:right w:val="nil"/>
            </w:tcBorders>
          </w:tcPr>
          <w:p w:rsidR="00423C65" w:rsidRDefault="00423C65" w:rsidP="00423C65">
            <w:pPr>
              <w:jc w:val="center"/>
              <w:rPr>
                <w:rFonts w:asciiTheme="minorHAnsi" w:hAnsiTheme="minorHAnsi" w:cs="Arial"/>
                <w:b/>
                <w:bCs/>
                <w:color w:val="000000"/>
                <w:sz w:val="20"/>
                <w:szCs w:val="20"/>
                <w:lang w:eastAsia="en-GB"/>
              </w:rPr>
            </w:pPr>
            <w:r>
              <w:rPr>
                <w:rFonts w:asciiTheme="minorHAnsi" w:hAnsiTheme="minorHAnsi" w:cs="Arial"/>
                <w:b/>
                <w:bCs/>
                <w:color w:val="000000"/>
                <w:sz w:val="20"/>
                <w:szCs w:val="20"/>
                <w:lang w:eastAsia="en-GB"/>
              </w:rPr>
              <w:t>2014</w:t>
            </w:r>
          </w:p>
        </w:tc>
        <w:tc>
          <w:tcPr>
            <w:tcW w:w="1043" w:type="dxa"/>
            <w:tcBorders>
              <w:top w:val="nil"/>
              <w:left w:val="nil"/>
              <w:bottom w:val="nil"/>
              <w:right w:val="nil"/>
            </w:tcBorders>
          </w:tcPr>
          <w:p w:rsidR="00423C65" w:rsidRDefault="00423C65" w:rsidP="00423C65">
            <w:pPr>
              <w:jc w:val="center"/>
              <w:rPr>
                <w:rFonts w:asciiTheme="minorHAnsi" w:hAnsiTheme="minorHAnsi" w:cs="Arial"/>
                <w:b/>
                <w:bCs/>
                <w:color w:val="000000"/>
                <w:sz w:val="20"/>
                <w:szCs w:val="20"/>
                <w:lang w:eastAsia="en-GB"/>
              </w:rPr>
            </w:pPr>
            <w:r>
              <w:rPr>
                <w:rFonts w:asciiTheme="minorHAnsi" w:hAnsiTheme="minorHAnsi" w:cs="Arial"/>
                <w:b/>
                <w:bCs/>
                <w:color w:val="000000"/>
                <w:sz w:val="20"/>
                <w:szCs w:val="20"/>
                <w:lang w:eastAsia="en-GB"/>
              </w:rPr>
              <w:t>2013</w:t>
            </w:r>
          </w:p>
        </w:tc>
        <w:tc>
          <w:tcPr>
            <w:tcW w:w="1043" w:type="dxa"/>
            <w:tcBorders>
              <w:top w:val="nil"/>
              <w:left w:val="nil"/>
              <w:bottom w:val="nil"/>
              <w:right w:val="nil"/>
            </w:tcBorders>
          </w:tcPr>
          <w:p w:rsidR="00423C65" w:rsidRDefault="00423C65" w:rsidP="00423C65">
            <w:pPr>
              <w:jc w:val="center"/>
              <w:rPr>
                <w:rFonts w:asciiTheme="minorHAnsi" w:hAnsiTheme="minorHAnsi" w:cs="Arial"/>
                <w:b/>
                <w:bCs/>
                <w:color w:val="000000"/>
                <w:sz w:val="20"/>
                <w:szCs w:val="20"/>
                <w:lang w:eastAsia="en-GB"/>
              </w:rPr>
            </w:pPr>
            <w:r>
              <w:rPr>
                <w:rFonts w:asciiTheme="minorHAnsi" w:hAnsiTheme="minorHAnsi" w:cs="Arial"/>
                <w:b/>
                <w:bCs/>
                <w:color w:val="000000"/>
                <w:sz w:val="20"/>
                <w:szCs w:val="20"/>
                <w:lang w:eastAsia="en-GB"/>
              </w:rPr>
              <w:t>2013</w:t>
            </w:r>
          </w:p>
        </w:tc>
        <w:tc>
          <w:tcPr>
            <w:tcW w:w="1044" w:type="dxa"/>
            <w:tcBorders>
              <w:top w:val="nil"/>
              <w:left w:val="nil"/>
              <w:bottom w:val="nil"/>
              <w:right w:val="nil"/>
            </w:tcBorders>
          </w:tcPr>
          <w:p w:rsidR="00423C65" w:rsidRDefault="00423C65" w:rsidP="00423C65">
            <w:pPr>
              <w:jc w:val="center"/>
              <w:rPr>
                <w:rFonts w:asciiTheme="minorHAnsi" w:hAnsiTheme="minorHAnsi" w:cs="Arial"/>
                <w:b/>
                <w:bCs/>
                <w:color w:val="000000"/>
                <w:sz w:val="20"/>
                <w:szCs w:val="20"/>
                <w:lang w:eastAsia="en-GB"/>
              </w:rPr>
            </w:pPr>
            <w:r>
              <w:rPr>
                <w:rFonts w:asciiTheme="minorHAnsi" w:hAnsiTheme="minorHAnsi" w:cs="Arial"/>
                <w:b/>
                <w:bCs/>
                <w:color w:val="000000"/>
                <w:sz w:val="20"/>
                <w:szCs w:val="20"/>
                <w:lang w:eastAsia="en-GB"/>
              </w:rPr>
              <w:t>2013</w:t>
            </w:r>
          </w:p>
        </w:tc>
      </w:tr>
      <w:tr w:rsidR="00423C65" w:rsidTr="00D1027A">
        <w:tc>
          <w:tcPr>
            <w:tcW w:w="3085" w:type="dxa"/>
            <w:tcBorders>
              <w:top w:val="nil"/>
              <w:left w:val="nil"/>
              <w:bottom w:val="nil"/>
              <w:right w:val="nil"/>
            </w:tcBorders>
          </w:tcPr>
          <w:p w:rsidR="00423C65" w:rsidRDefault="00423C65" w:rsidP="004C12B8">
            <w:pPr>
              <w:jc w:val="left"/>
              <w:rPr>
                <w:rFonts w:asciiTheme="minorHAnsi" w:hAnsiTheme="minorHAnsi" w:cs="Arial"/>
                <w:b/>
                <w:bCs/>
                <w:color w:val="000000"/>
                <w:sz w:val="20"/>
                <w:szCs w:val="20"/>
                <w:lang w:eastAsia="en-GB"/>
              </w:rPr>
            </w:pPr>
          </w:p>
        </w:tc>
        <w:tc>
          <w:tcPr>
            <w:tcW w:w="618" w:type="dxa"/>
            <w:tcBorders>
              <w:top w:val="nil"/>
              <w:left w:val="nil"/>
              <w:bottom w:val="nil"/>
              <w:right w:val="nil"/>
            </w:tcBorders>
          </w:tcPr>
          <w:p w:rsidR="00423C65" w:rsidRDefault="00423C65" w:rsidP="004C12B8">
            <w:pPr>
              <w:jc w:val="left"/>
              <w:rPr>
                <w:rFonts w:asciiTheme="minorHAnsi" w:hAnsiTheme="minorHAnsi" w:cs="Arial"/>
                <w:b/>
                <w:bCs/>
                <w:color w:val="000000"/>
                <w:sz w:val="20"/>
                <w:szCs w:val="20"/>
                <w:lang w:eastAsia="en-GB"/>
              </w:rPr>
            </w:pPr>
          </w:p>
        </w:tc>
        <w:tc>
          <w:tcPr>
            <w:tcW w:w="1043" w:type="dxa"/>
            <w:tcBorders>
              <w:top w:val="nil"/>
              <w:left w:val="nil"/>
              <w:bottom w:val="nil"/>
              <w:right w:val="nil"/>
            </w:tcBorders>
          </w:tcPr>
          <w:p w:rsidR="00423C65" w:rsidRDefault="00423C65" w:rsidP="00423C65">
            <w:pPr>
              <w:jc w:val="center"/>
              <w:rPr>
                <w:rFonts w:asciiTheme="minorHAnsi" w:hAnsiTheme="minorHAnsi" w:cs="Arial"/>
                <w:b/>
                <w:bCs/>
                <w:color w:val="000000"/>
                <w:sz w:val="20"/>
                <w:szCs w:val="20"/>
                <w:lang w:eastAsia="en-GB"/>
              </w:rPr>
            </w:pPr>
            <w:r>
              <w:rPr>
                <w:rFonts w:asciiTheme="minorHAnsi" w:hAnsiTheme="minorHAnsi" w:cs="Arial"/>
                <w:b/>
                <w:bCs/>
                <w:color w:val="000000"/>
                <w:sz w:val="20"/>
                <w:szCs w:val="20"/>
                <w:lang w:eastAsia="en-GB"/>
              </w:rPr>
              <w:t>£’000</w:t>
            </w:r>
          </w:p>
        </w:tc>
        <w:tc>
          <w:tcPr>
            <w:tcW w:w="1043" w:type="dxa"/>
            <w:tcBorders>
              <w:top w:val="nil"/>
              <w:left w:val="nil"/>
              <w:bottom w:val="nil"/>
              <w:right w:val="nil"/>
            </w:tcBorders>
          </w:tcPr>
          <w:p w:rsidR="00423C65" w:rsidRDefault="00423C65" w:rsidP="00423C65">
            <w:pPr>
              <w:jc w:val="center"/>
              <w:rPr>
                <w:rFonts w:asciiTheme="minorHAnsi" w:hAnsiTheme="minorHAnsi" w:cs="Arial"/>
                <w:b/>
                <w:bCs/>
                <w:color w:val="000000"/>
                <w:sz w:val="20"/>
                <w:szCs w:val="20"/>
                <w:lang w:eastAsia="en-GB"/>
              </w:rPr>
            </w:pPr>
            <w:r>
              <w:rPr>
                <w:rFonts w:asciiTheme="minorHAnsi" w:hAnsiTheme="minorHAnsi" w:cs="Arial"/>
                <w:b/>
                <w:bCs/>
                <w:color w:val="000000"/>
                <w:sz w:val="20"/>
                <w:szCs w:val="20"/>
                <w:lang w:eastAsia="en-GB"/>
              </w:rPr>
              <w:t>£’000</w:t>
            </w:r>
          </w:p>
        </w:tc>
        <w:tc>
          <w:tcPr>
            <w:tcW w:w="1043" w:type="dxa"/>
            <w:tcBorders>
              <w:top w:val="nil"/>
              <w:left w:val="nil"/>
              <w:bottom w:val="nil"/>
              <w:right w:val="nil"/>
            </w:tcBorders>
          </w:tcPr>
          <w:p w:rsidR="00423C65" w:rsidRDefault="00423C65" w:rsidP="00423C65">
            <w:pPr>
              <w:jc w:val="center"/>
              <w:rPr>
                <w:rFonts w:asciiTheme="minorHAnsi" w:hAnsiTheme="minorHAnsi" w:cs="Arial"/>
                <w:b/>
                <w:bCs/>
                <w:color w:val="000000"/>
                <w:sz w:val="20"/>
                <w:szCs w:val="20"/>
                <w:lang w:eastAsia="en-GB"/>
              </w:rPr>
            </w:pPr>
            <w:r>
              <w:rPr>
                <w:rFonts w:asciiTheme="minorHAnsi" w:hAnsiTheme="minorHAnsi" w:cs="Arial"/>
                <w:b/>
                <w:bCs/>
                <w:color w:val="000000"/>
                <w:sz w:val="20"/>
                <w:szCs w:val="20"/>
                <w:lang w:eastAsia="en-GB"/>
              </w:rPr>
              <w:t>£’000</w:t>
            </w:r>
          </w:p>
        </w:tc>
        <w:tc>
          <w:tcPr>
            <w:tcW w:w="1043" w:type="dxa"/>
            <w:tcBorders>
              <w:top w:val="nil"/>
              <w:left w:val="nil"/>
              <w:bottom w:val="nil"/>
              <w:right w:val="nil"/>
            </w:tcBorders>
          </w:tcPr>
          <w:p w:rsidR="00423C65" w:rsidRDefault="00423C65" w:rsidP="00423C65">
            <w:pPr>
              <w:jc w:val="center"/>
              <w:rPr>
                <w:rFonts w:asciiTheme="minorHAnsi" w:hAnsiTheme="minorHAnsi" w:cs="Arial"/>
                <w:b/>
                <w:bCs/>
                <w:color w:val="000000"/>
                <w:sz w:val="20"/>
                <w:szCs w:val="20"/>
                <w:lang w:eastAsia="en-GB"/>
              </w:rPr>
            </w:pPr>
            <w:r>
              <w:rPr>
                <w:rFonts w:asciiTheme="minorHAnsi" w:hAnsiTheme="minorHAnsi" w:cs="Arial"/>
                <w:b/>
                <w:bCs/>
                <w:color w:val="000000"/>
                <w:sz w:val="20"/>
                <w:szCs w:val="20"/>
                <w:lang w:eastAsia="en-GB"/>
              </w:rPr>
              <w:t>£’000</w:t>
            </w:r>
          </w:p>
        </w:tc>
        <w:tc>
          <w:tcPr>
            <w:tcW w:w="1043" w:type="dxa"/>
            <w:tcBorders>
              <w:top w:val="nil"/>
              <w:left w:val="nil"/>
              <w:bottom w:val="nil"/>
              <w:right w:val="nil"/>
            </w:tcBorders>
          </w:tcPr>
          <w:p w:rsidR="00423C65" w:rsidRDefault="00423C65" w:rsidP="00423C65">
            <w:pPr>
              <w:jc w:val="center"/>
              <w:rPr>
                <w:rFonts w:asciiTheme="minorHAnsi" w:hAnsiTheme="minorHAnsi" w:cs="Arial"/>
                <w:b/>
                <w:bCs/>
                <w:color w:val="000000"/>
                <w:sz w:val="20"/>
                <w:szCs w:val="20"/>
                <w:lang w:eastAsia="en-GB"/>
              </w:rPr>
            </w:pPr>
            <w:r>
              <w:rPr>
                <w:rFonts w:asciiTheme="minorHAnsi" w:hAnsiTheme="minorHAnsi" w:cs="Arial"/>
                <w:b/>
                <w:bCs/>
                <w:color w:val="000000"/>
                <w:sz w:val="20"/>
                <w:szCs w:val="20"/>
                <w:lang w:eastAsia="en-GB"/>
              </w:rPr>
              <w:t>£’000</w:t>
            </w:r>
          </w:p>
        </w:tc>
        <w:tc>
          <w:tcPr>
            <w:tcW w:w="1044" w:type="dxa"/>
            <w:tcBorders>
              <w:top w:val="nil"/>
              <w:left w:val="nil"/>
              <w:bottom w:val="nil"/>
              <w:right w:val="nil"/>
            </w:tcBorders>
          </w:tcPr>
          <w:p w:rsidR="00423C65" w:rsidRDefault="00423C65" w:rsidP="00423C65">
            <w:pPr>
              <w:jc w:val="center"/>
              <w:rPr>
                <w:rFonts w:asciiTheme="minorHAnsi" w:hAnsiTheme="minorHAnsi" w:cs="Arial"/>
                <w:b/>
                <w:bCs/>
                <w:color w:val="000000"/>
                <w:sz w:val="20"/>
                <w:szCs w:val="20"/>
                <w:lang w:eastAsia="en-GB"/>
              </w:rPr>
            </w:pPr>
            <w:r>
              <w:rPr>
                <w:rFonts w:asciiTheme="minorHAnsi" w:hAnsiTheme="minorHAnsi" w:cs="Arial"/>
                <w:b/>
                <w:bCs/>
                <w:color w:val="000000"/>
                <w:sz w:val="20"/>
                <w:szCs w:val="20"/>
                <w:lang w:eastAsia="en-GB"/>
              </w:rPr>
              <w:t>£’000</w:t>
            </w:r>
          </w:p>
        </w:tc>
      </w:tr>
      <w:tr w:rsidR="00D1027A" w:rsidTr="00D1027A">
        <w:tc>
          <w:tcPr>
            <w:tcW w:w="3085" w:type="dxa"/>
            <w:tcBorders>
              <w:top w:val="nil"/>
              <w:left w:val="nil"/>
              <w:bottom w:val="nil"/>
              <w:right w:val="nil"/>
            </w:tcBorders>
          </w:tcPr>
          <w:p w:rsidR="00D1027A" w:rsidRPr="00D1027A" w:rsidRDefault="00D1027A" w:rsidP="004C12B8">
            <w:pPr>
              <w:jc w:val="left"/>
              <w:rPr>
                <w:rFonts w:asciiTheme="minorHAnsi" w:hAnsiTheme="minorHAnsi" w:cs="Arial"/>
                <w:b/>
                <w:bCs/>
                <w:color w:val="000000"/>
                <w:lang w:eastAsia="en-GB"/>
              </w:rPr>
            </w:pPr>
            <w:r w:rsidRPr="00D1027A">
              <w:rPr>
                <w:rFonts w:asciiTheme="minorHAnsi" w:hAnsiTheme="minorHAnsi" w:cs="Arial"/>
                <w:b/>
                <w:bCs/>
                <w:color w:val="000000"/>
                <w:lang w:eastAsia="en-GB"/>
              </w:rPr>
              <w:t>Revenue</w:t>
            </w:r>
          </w:p>
        </w:tc>
        <w:tc>
          <w:tcPr>
            <w:tcW w:w="618" w:type="dxa"/>
            <w:tcBorders>
              <w:top w:val="nil"/>
              <w:left w:val="nil"/>
              <w:bottom w:val="nil"/>
              <w:right w:val="nil"/>
            </w:tcBorders>
          </w:tcPr>
          <w:p w:rsidR="00D1027A" w:rsidRDefault="00D1027A" w:rsidP="004C12B8">
            <w:pPr>
              <w:jc w:val="left"/>
              <w:rPr>
                <w:rFonts w:asciiTheme="minorHAnsi" w:hAnsiTheme="minorHAnsi" w:cs="Arial"/>
                <w:b/>
                <w:bCs/>
                <w:color w:val="000000"/>
                <w:sz w:val="20"/>
                <w:szCs w:val="20"/>
                <w:lang w:eastAsia="en-GB"/>
              </w:rPr>
            </w:pPr>
          </w:p>
        </w:tc>
        <w:tc>
          <w:tcPr>
            <w:tcW w:w="1043" w:type="dxa"/>
            <w:tcBorders>
              <w:top w:val="nil"/>
              <w:left w:val="nil"/>
              <w:bottom w:val="nil"/>
              <w:right w:val="nil"/>
            </w:tcBorders>
          </w:tcPr>
          <w:p w:rsidR="00D1027A" w:rsidRPr="00D1027A" w:rsidRDefault="00D1027A" w:rsidP="00423C65">
            <w:pPr>
              <w:jc w:val="right"/>
              <w:rPr>
                <w:rFonts w:asciiTheme="minorHAnsi" w:hAnsiTheme="minorHAnsi" w:cs="Arial"/>
                <w:bCs/>
                <w:color w:val="000000"/>
                <w:lang w:eastAsia="en-GB"/>
              </w:rPr>
            </w:pPr>
            <w:r w:rsidRPr="00D1027A">
              <w:rPr>
                <w:rFonts w:asciiTheme="minorHAnsi" w:hAnsiTheme="minorHAnsi" w:cs="Arial"/>
                <w:bCs/>
                <w:color w:val="000000"/>
                <w:lang w:eastAsia="en-GB"/>
              </w:rPr>
              <w:t>28,476</w:t>
            </w:r>
          </w:p>
        </w:tc>
        <w:tc>
          <w:tcPr>
            <w:tcW w:w="1043" w:type="dxa"/>
            <w:tcBorders>
              <w:top w:val="nil"/>
              <w:left w:val="nil"/>
              <w:bottom w:val="nil"/>
              <w:right w:val="nil"/>
            </w:tcBorders>
          </w:tcPr>
          <w:p w:rsidR="00D1027A" w:rsidRPr="00D1027A" w:rsidRDefault="00D1027A" w:rsidP="00423C65">
            <w:pPr>
              <w:jc w:val="right"/>
              <w:rPr>
                <w:rFonts w:asciiTheme="minorHAnsi" w:hAnsiTheme="minorHAnsi" w:cs="Arial"/>
                <w:bCs/>
                <w:color w:val="000000"/>
                <w:lang w:eastAsia="en-GB"/>
              </w:rPr>
            </w:pPr>
            <w:r w:rsidRPr="00D1027A">
              <w:rPr>
                <w:rFonts w:asciiTheme="minorHAnsi" w:hAnsiTheme="minorHAnsi" w:cs="Arial"/>
                <w:bCs/>
                <w:color w:val="000000"/>
                <w:lang w:eastAsia="en-GB"/>
              </w:rPr>
              <w:t>-</w:t>
            </w:r>
          </w:p>
        </w:tc>
        <w:tc>
          <w:tcPr>
            <w:tcW w:w="1043" w:type="dxa"/>
            <w:tcBorders>
              <w:top w:val="nil"/>
              <w:left w:val="nil"/>
              <w:bottom w:val="nil"/>
              <w:right w:val="nil"/>
            </w:tcBorders>
          </w:tcPr>
          <w:p w:rsidR="00D1027A" w:rsidRPr="00D1027A" w:rsidRDefault="00D1027A" w:rsidP="00423C65">
            <w:pPr>
              <w:jc w:val="right"/>
              <w:rPr>
                <w:rFonts w:asciiTheme="minorHAnsi" w:hAnsiTheme="minorHAnsi" w:cs="Arial"/>
                <w:b/>
                <w:bCs/>
                <w:color w:val="000000"/>
                <w:lang w:eastAsia="en-GB"/>
              </w:rPr>
            </w:pPr>
            <w:r w:rsidRPr="00D1027A">
              <w:rPr>
                <w:rFonts w:asciiTheme="minorHAnsi" w:hAnsiTheme="minorHAnsi" w:cs="Arial"/>
                <w:b/>
                <w:bCs/>
                <w:color w:val="000000"/>
                <w:lang w:eastAsia="en-GB"/>
              </w:rPr>
              <w:t>28,476</w:t>
            </w:r>
          </w:p>
        </w:tc>
        <w:tc>
          <w:tcPr>
            <w:tcW w:w="1043" w:type="dxa"/>
            <w:tcBorders>
              <w:top w:val="nil"/>
              <w:left w:val="nil"/>
              <w:bottom w:val="nil"/>
              <w:right w:val="nil"/>
            </w:tcBorders>
          </w:tcPr>
          <w:p w:rsidR="00D1027A" w:rsidRPr="00D1027A" w:rsidRDefault="00D1027A" w:rsidP="00D1027A">
            <w:pPr>
              <w:jc w:val="right"/>
              <w:rPr>
                <w:rFonts w:asciiTheme="minorHAnsi" w:hAnsiTheme="minorHAnsi" w:cs="Arial"/>
                <w:bCs/>
                <w:color w:val="000000"/>
                <w:lang w:eastAsia="en-GB"/>
              </w:rPr>
            </w:pPr>
            <w:r w:rsidRPr="00D1027A">
              <w:rPr>
                <w:rFonts w:asciiTheme="minorHAnsi" w:hAnsiTheme="minorHAnsi" w:cs="Arial"/>
                <w:bCs/>
                <w:color w:val="000000"/>
                <w:lang w:eastAsia="en-GB"/>
              </w:rPr>
              <w:t>25,929</w:t>
            </w:r>
          </w:p>
        </w:tc>
        <w:tc>
          <w:tcPr>
            <w:tcW w:w="1043" w:type="dxa"/>
            <w:tcBorders>
              <w:top w:val="nil"/>
              <w:left w:val="nil"/>
              <w:bottom w:val="nil"/>
              <w:right w:val="nil"/>
            </w:tcBorders>
          </w:tcPr>
          <w:p w:rsidR="00D1027A" w:rsidRPr="00D1027A" w:rsidRDefault="00D1027A" w:rsidP="00D1027A">
            <w:pPr>
              <w:jc w:val="right"/>
              <w:rPr>
                <w:rFonts w:asciiTheme="minorHAnsi" w:hAnsiTheme="minorHAnsi" w:cs="Arial"/>
                <w:bCs/>
                <w:color w:val="000000"/>
                <w:lang w:eastAsia="en-GB"/>
              </w:rPr>
            </w:pPr>
            <w:r w:rsidRPr="00D1027A">
              <w:rPr>
                <w:rFonts w:asciiTheme="minorHAnsi" w:hAnsiTheme="minorHAnsi" w:cs="Arial"/>
                <w:bCs/>
                <w:color w:val="000000"/>
                <w:lang w:eastAsia="en-GB"/>
              </w:rPr>
              <w:t>-</w:t>
            </w:r>
          </w:p>
        </w:tc>
        <w:tc>
          <w:tcPr>
            <w:tcW w:w="1044" w:type="dxa"/>
            <w:tcBorders>
              <w:top w:val="nil"/>
              <w:left w:val="nil"/>
              <w:bottom w:val="nil"/>
              <w:right w:val="nil"/>
            </w:tcBorders>
          </w:tcPr>
          <w:p w:rsidR="00D1027A" w:rsidRPr="00D1027A" w:rsidRDefault="00D1027A" w:rsidP="00D1027A">
            <w:pPr>
              <w:jc w:val="right"/>
              <w:rPr>
                <w:rFonts w:asciiTheme="minorHAnsi" w:hAnsiTheme="minorHAnsi" w:cs="Arial"/>
                <w:b/>
                <w:bCs/>
                <w:color w:val="000000"/>
                <w:lang w:eastAsia="en-GB"/>
              </w:rPr>
            </w:pPr>
            <w:r w:rsidRPr="00D1027A">
              <w:rPr>
                <w:rFonts w:asciiTheme="minorHAnsi" w:hAnsiTheme="minorHAnsi" w:cs="Arial"/>
                <w:b/>
                <w:bCs/>
                <w:color w:val="000000"/>
                <w:lang w:eastAsia="en-GB"/>
              </w:rPr>
              <w:t>25,929</w:t>
            </w:r>
          </w:p>
        </w:tc>
      </w:tr>
      <w:tr w:rsidR="00D1027A" w:rsidTr="00D1027A">
        <w:tc>
          <w:tcPr>
            <w:tcW w:w="3085" w:type="dxa"/>
            <w:tcBorders>
              <w:top w:val="nil"/>
              <w:left w:val="nil"/>
              <w:bottom w:val="nil"/>
              <w:right w:val="nil"/>
            </w:tcBorders>
          </w:tcPr>
          <w:p w:rsidR="00D1027A" w:rsidRPr="00D1027A" w:rsidRDefault="00D1027A" w:rsidP="004C12B8">
            <w:pPr>
              <w:jc w:val="left"/>
              <w:rPr>
                <w:rFonts w:asciiTheme="minorHAnsi" w:hAnsiTheme="minorHAnsi" w:cs="Arial"/>
                <w:bCs/>
                <w:color w:val="000000"/>
                <w:lang w:eastAsia="en-GB"/>
              </w:rPr>
            </w:pPr>
            <w:r w:rsidRPr="00D1027A">
              <w:rPr>
                <w:rFonts w:asciiTheme="minorHAnsi" w:hAnsiTheme="minorHAnsi" w:cs="Arial"/>
                <w:bCs/>
                <w:color w:val="000000"/>
                <w:lang w:eastAsia="en-GB"/>
              </w:rPr>
              <w:t>Cost of sales</w:t>
            </w:r>
          </w:p>
        </w:tc>
        <w:tc>
          <w:tcPr>
            <w:tcW w:w="618" w:type="dxa"/>
            <w:tcBorders>
              <w:top w:val="nil"/>
              <w:left w:val="nil"/>
              <w:bottom w:val="nil"/>
              <w:right w:val="nil"/>
            </w:tcBorders>
          </w:tcPr>
          <w:p w:rsidR="00D1027A" w:rsidRDefault="00D1027A" w:rsidP="004C12B8">
            <w:pPr>
              <w:jc w:val="left"/>
              <w:rPr>
                <w:rFonts w:asciiTheme="minorHAnsi" w:hAnsiTheme="minorHAnsi" w:cs="Arial"/>
                <w:b/>
                <w:bCs/>
                <w:color w:val="000000"/>
                <w:sz w:val="20"/>
                <w:szCs w:val="20"/>
                <w:lang w:eastAsia="en-GB"/>
              </w:rPr>
            </w:pPr>
          </w:p>
        </w:tc>
        <w:tc>
          <w:tcPr>
            <w:tcW w:w="1043" w:type="dxa"/>
            <w:tcBorders>
              <w:top w:val="nil"/>
              <w:left w:val="nil"/>
              <w:bottom w:val="single" w:sz="4" w:space="0" w:color="auto"/>
              <w:right w:val="nil"/>
            </w:tcBorders>
          </w:tcPr>
          <w:p w:rsidR="00D1027A" w:rsidRPr="00D1027A" w:rsidRDefault="00D1027A" w:rsidP="00423C65">
            <w:pPr>
              <w:jc w:val="right"/>
              <w:rPr>
                <w:rFonts w:asciiTheme="minorHAnsi" w:hAnsiTheme="minorHAnsi" w:cs="Arial"/>
                <w:bCs/>
                <w:color w:val="000000"/>
                <w:lang w:eastAsia="en-GB"/>
              </w:rPr>
            </w:pPr>
            <w:r w:rsidRPr="00D1027A">
              <w:rPr>
                <w:rFonts w:asciiTheme="minorHAnsi" w:hAnsiTheme="minorHAnsi" w:cs="Arial"/>
                <w:bCs/>
                <w:color w:val="000000"/>
                <w:lang w:eastAsia="en-GB"/>
              </w:rPr>
              <w:t>(19,631)</w:t>
            </w:r>
          </w:p>
        </w:tc>
        <w:tc>
          <w:tcPr>
            <w:tcW w:w="1043" w:type="dxa"/>
            <w:tcBorders>
              <w:top w:val="nil"/>
              <w:left w:val="nil"/>
              <w:bottom w:val="single" w:sz="4" w:space="0" w:color="auto"/>
              <w:right w:val="nil"/>
            </w:tcBorders>
          </w:tcPr>
          <w:p w:rsidR="00D1027A" w:rsidRPr="00D1027A" w:rsidRDefault="00D1027A" w:rsidP="00423C65">
            <w:pPr>
              <w:jc w:val="right"/>
              <w:rPr>
                <w:rFonts w:asciiTheme="minorHAnsi" w:hAnsiTheme="minorHAnsi" w:cs="Arial"/>
                <w:bCs/>
                <w:color w:val="000000"/>
                <w:lang w:eastAsia="en-GB"/>
              </w:rPr>
            </w:pPr>
            <w:r w:rsidRPr="00D1027A">
              <w:rPr>
                <w:rFonts w:asciiTheme="minorHAnsi" w:hAnsiTheme="minorHAnsi" w:cs="Arial"/>
                <w:bCs/>
                <w:color w:val="000000"/>
                <w:lang w:eastAsia="en-GB"/>
              </w:rPr>
              <w:t>(119)</w:t>
            </w:r>
          </w:p>
        </w:tc>
        <w:tc>
          <w:tcPr>
            <w:tcW w:w="1043" w:type="dxa"/>
            <w:tcBorders>
              <w:top w:val="nil"/>
              <w:left w:val="nil"/>
              <w:bottom w:val="single" w:sz="4" w:space="0" w:color="auto"/>
              <w:right w:val="nil"/>
            </w:tcBorders>
          </w:tcPr>
          <w:p w:rsidR="00D1027A" w:rsidRPr="00D1027A" w:rsidRDefault="00D1027A" w:rsidP="00423C65">
            <w:pPr>
              <w:jc w:val="right"/>
              <w:rPr>
                <w:rFonts w:asciiTheme="minorHAnsi" w:hAnsiTheme="minorHAnsi" w:cs="Arial"/>
                <w:b/>
                <w:bCs/>
                <w:color w:val="000000"/>
                <w:lang w:eastAsia="en-GB"/>
              </w:rPr>
            </w:pPr>
            <w:r w:rsidRPr="00D1027A">
              <w:rPr>
                <w:rFonts w:asciiTheme="minorHAnsi" w:hAnsiTheme="minorHAnsi" w:cs="Arial"/>
                <w:b/>
                <w:bCs/>
                <w:color w:val="000000"/>
                <w:lang w:eastAsia="en-GB"/>
              </w:rPr>
              <w:t>(19,750)</w:t>
            </w:r>
          </w:p>
        </w:tc>
        <w:tc>
          <w:tcPr>
            <w:tcW w:w="1043" w:type="dxa"/>
            <w:tcBorders>
              <w:top w:val="nil"/>
              <w:left w:val="nil"/>
              <w:bottom w:val="single" w:sz="4" w:space="0" w:color="auto"/>
              <w:right w:val="nil"/>
            </w:tcBorders>
          </w:tcPr>
          <w:p w:rsidR="00D1027A" w:rsidRPr="00D1027A" w:rsidRDefault="00D1027A" w:rsidP="00D1027A">
            <w:pPr>
              <w:jc w:val="right"/>
              <w:rPr>
                <w:rFonts w:asciiTheme="minorHAnsi" w:hAnsiTheme="minorHAnsi" w:cs="Arial"/>
                <w:bCs/>
                <w:color w:val="000000"/>
                <w:lang w:eastAsia="en-GB"/>
              </w:rPr>
            </w:pPr>
            <w:r w:rsidRPr="00D1027A">
              <w:rPr>
                <w:rFonts w:asciiTheme="minorHAnsi" w:hAnsiTheme="minorHAnsi" w:cs="Arial"/>
                <w:bCs/>
                <w:color w:val="000000"/>
                <w:lang w:eastAsia="en-GB"/>
              </w:rPr>
              <w:t>(19,205)</w:t>
            </w:r>
          </w:p>
        </w:tc>
        <w:tc>
          <w:tcPr>
            <w:tcW w:w="1043" w:type="dxa"/>
            <w:tcBorders>
              <w:top w:val="nil"/>
              <w:left w:val="nil"/>
              <w:bottom w:val="single" w:sz="4" w:space="0" w:color="auto"/>
              <w:right w:val="nil"/>
            </w:tcBorders>
          </w:tcPr>
          <w:p w:rsidR="00D1027A" w:rsidRPr="00D1027A" w:rsidRDefault="00D1027A" w:rsidP="00D1027A">
            <w:pPr>
              <w:jc w:val="right"/>
              <w:rPr>
                <w:rFonts w:asciiTheme="minorHAnsi" w:hAnsiTheme="minorHAnsi" w:cs="Arial"/>
                <w:bCs/>
                <w:color w:val="000000"/>
                <w:lang w:eastAsia="en-GB"/>
              </w:rPr>
            </w:pPr>
            <w:r w:rsidRPr="00D1027A">
              <w:rPr>
                <w:rFonts w:asciiTheme="minorHAnsi" w:hAnsiTheme="minorHAnsi" w:cs="Arial"/>
                <w:bCs/>
                <w:color w:val="000000"/>
                <w:lang w:eastAsia="en-GB"/>
              </w:rPr>
              <w:t>-</w:t>
            </w:r>
          </w:p>
        </w:tc>
        <w:tc>
          <w:tcPr>
            <w:tcW w:w="1044" w:type="dxa"/>
            <w:tcBorders>
              <w:top w:val="nil"/>
              <w:left w:val="nil"/>
              <w:bottom w:val="single" w:sz="4" w:space="0" w:color="auto"/>
              <w:right w:val="nil"/>
            </w:tcBorders>
          </w:tcPr>
          <w:p w:rsidR="00D1027A" w:rsidRPr="00D1027A" w:rsidRDefault="00D1027A" w:rsidP="00D1027A">
            <w:pPr>
              <w:jc w:val="right"/>
              <w:rPr>
                <w:rFonts w:asciiTheme="minorHAnsi" w:hAnsiTheme="minorHAnsi" w:cs="Arial"/>
                <w:b/>
                <w:bCs/>
                <w:color w:val="000000"/>
                <w:lang w:eastAsia="en-GB"/>
              </w:rPr>
            </w:pPr>
            <w:r w:rsidRPr="00D1027A">
              <w:rPr>
                <w:rFonts w:asciiTheme="minorHAnsi" w:hAnsiTheme="minorHAnsi" w:cs="Arial"/>
                <w:b/>
                <w:bCs/>
                <w:color w:val="000000"/>
                <w:lang w:eastAsia="en-GB"/>
              </w:rPr>
              <w:t>(19,205)</w:t>
            </w:r>
          </w:p>
        </w:tc>
      </w:tr>
      <w:tr w:rsidR="00D1027A" w:rsidTr="00D1027A">
        <w:tc>
          <w:tcPr>
            <w:tcW w:w="3085" w:type="dxa"/>
            <w:tcBorders>
              <w:top w:val="nil"/>
              <w:left w:val="nil"/>
              <w:bottom w:val="nil"/>
              <w:right w:val="nil"/>
            </w:tcBorders>
          </w:tcPr>
          <w:p w:rsidR="00D1027A" w:rsidRPr="00D1027A" w:rsidRDefault="00D1027A" w:rsidP="004C12B8">
            <w:pPr>
              <w:jc w:val="left"/>
              <w:rPr>
                <w:rFonts w:asciiTheme="minorHAnsi" w:hAnsiTheme="minorHAnsi" w:cs="Arial"/>
                <w:b/>
                <w:bCs/>
                <w:color w:val="000000"/>
                <w:lang w:eastAsia="en-GB"/>
              </w:rPr>
            </w:pPr>
            <w:r w:rsidRPr="00D1027A">
              <w:rPr>
                <w:rFonts w:asciiTheme="minorHAnsi" w:hAnsiTheme="minorHAnsi" w:cs="Arial"/>
                <w:b/>
                <w:bCs/>
                <w:color w:val="000000"/>
                <w:lang w:eastAsia="en-GB"/>
              </w:rPr>
              <w:t>Gross profit</w:t>
            </w:r>
          </w:p>
        </w:tc>
        <w:tc>
          <w:tcPr>
            <w:tcW w:w="618" w:type="dxa"/>
            <w:tcBorders>
              <w:top w:val="nil"/>
              <w:left w:val="nil"/>
              <w:bottom w:val="nil"/>
              <w:right w:val="nil"/>
            </w:tcBorders>
          </w:tcPr>
          <w:p w:rsidR="00D1027A" w:rsidRDefault="00D1027A" w:rsidP="004C12B8">
            <w:pPr>
              <w:jc w:val="left"/>
              <w:rPr>
                <w:rFonts w:asciiTheme="minorHAnsi" w:hAnsiTheme="minorHAnsi" w:cs="Arial"/>
                <w:b/>
                <w:bCs/>
                <w:color w:val="000000"/>
                <w:sz w:val="20"/>
                <w:szCs w:val="20"/>
                <w:lang w:eastAsia="en-GB"/>
              </w:rPr>
            </w:pPr>
          </w:p>
        </w:tc>
        <w:tc>
          <w:tcPr>
            <w:tcW w:w="1043" w:type="dxa"/>
            <w:tcBorders>
              <w:top w:val="single" w:sz="4" w:space="0" w:color="auto"/>
              <w:left w:val="nil"/>
              <w:bottom w:val="nil"/>
              <w:right w:val="nil"/>
            </w:tcBorders>
          </w:tcPr>
          <w:p w:rsidR="00D1027A" w:rsidRPr="00D1027A" w:rsidRDefault="00D1027A" w:rsidP="00423C65">
            <w:pPr>
              <w:jc w:val="right"/>
              <w:rPr>
                <w:rFonts w:asciiTheme="minorHAnsi" w:hAnsiTheme="minorHAnsi" w:cs="Arial"/>
                <w:bCs/>
                <w:color w:val="000000"/>
                <w:lang w:eastAsia="en-GB"/>
              </w:rPr>
            </w:pPr>
            <w:r w:rsidRPr="00D1027A">
              <w:rPr>
                <w:rFonts w:asciiTheme="minorHAnsi" w:hAnsiTheme="minorHAnsi" w:cs="Arial"/>
                <w:bCs/>
                <w:color w:val="000000"/>
                <w:lang w:eastAsia="en-GB"/>
              </w:rPr>
              <w:t>8,845</w:t>
            </w:r>
          </w:p>
        </w:tc>
        <w:tc>
          <w:tcPr>
            <w:tcW w:w="1043" w:type="dxa"/>
            <w:tcBorders>
              <w:top w:val="single" w:sz="4" w:space="0" w:color="auto"/>
              <w:left w:val="nil"/>
              <w:bottom w:val="nil"/>
              <w:right w:val="nil"/>
            </w:tcBorders>
          </w:tcPr>
          <w:p w:rsidR="00D1027A" w:rsidRPr="00D1027A" w:rsidRDefault="00D1027A" w:rsidP="00423C65">
            <w:pPr>
              <w:jc w:val="right"/>
              <w:rPr>
                <w:rFonts w:asciiTheme="minorHAnsi" w:hAnsiTheme="minorHAnsi" w:cs="Arial"/>
                <w:bCs/>
                <w:color w:val="000000"/>
                <w:lang w:eastAsia="en-GB"/>
              </w:rPr>
            </w:pPr>
            <w:r w:rsidRPr="00D1027A">
              <w:rPr>
                <w:rFonts w:asciiTheme="minorHAnsi" w:hAnsiTheme="minorHAnsi" w:cs="Arial"/>
                <w:bCs/>
                <w:color w:val="000000"/>
                <w:lang w:eastAsia="en-GB"/>
              </w:rPr>
              <w:t>(119)</w:t>
            </w:r>
          </w:p>
        </w:tc>
        <w:tc>
          <w:tcPr>
            <w:tcW w:w="1043" w:type="dxa"/>
            <w:tcBorders>
              <w:top w:val="single" w:sz="4" w:space="0" w:color="auto"/>
              <w:left w:val="nil"/>
              <w:bottom w:val="nil"/>
              <w:right w:val="nil"/>
            </w:tcBorders>
          </w:tcPr>
          <w:p w:rsidR="00D1027A" w:rsidRPr="00D1027A" w:rsidRDefault="00D1027A" w:rsidP="00423C65">
            <w:pPr>
              <w:jc w:val="right"/>
              <w:rPr>
                <w:rFonts w:asciiTheme="minorHAnsi" w:hAnsiTheme="minorHAnsi" w:cs="Arial"/>
                <w:b/>
                <w:bCs/>
                <w:color w:val="000000"/>
                <w:lang w:eastAsia="en-GB"/>
              </w:rPr>
            </w:pPr>
            <w:r w:rsidRPr="00D1027A">
              <w:rPr>
                <w:rFonts w:asciiTheme="minorHAnsi" w:hAnsiTheme="minorHAnsi" w:cs="Arial"/>
                <w:b/>
                <w:bCs/>
                <w:color w:val="000000"/>
                <w:lang w:eastAsia="en-GB"/>
              </w:rPr>
              <w:t>8,726</w:t>
            </w:r>
          </w:p>
        </w:tc>
        <w:tc>
          <w:tcPr>
            <w:tcW w:w="1043" w:type="dxa"/>
            <w:tcBorders>
              <w:top w:val="single" w:sz="4" w:space="0" w:color="auto"/>
              <w:left w:val="nil"/>
              <w:bottom w:val="nil"/>
              <w:right w:val="nil"/>
            </w:tcBorders>
          </w:tcPr>
          <w:p w:rsidR="00D1027A" w:rsidRPr="00D1027A" w:rsidRDefault="00D1027A" w:rsidP="00D1027A">
            <w:pPr>
              <w:jc w:val="right"/>
              <w:rPr>
                <w:rFonts w:asciiTheme="minorHAnsi" w:hAnsiTheme="minorHAnsi" w:cs="Arial"/>
                <w:bCs/>
                <w:color w:val="000000"/>
                <w:lang w:eastAsia="en-GB"/>
              </w:rPr>
            </w:pPr>
            <w:r w:rsidRPr="00D1027A">
              <w:rPr>
                <w:rFonts w:asciiTheme="minorHAnsi" w:hAnsiTheme="minorHAnsi" w:cs="Arial"/>
                <w:bCs/>
                <w:color w:val="000000"/>
                <w:lang w:eastAsia="en-GB"/>
              </w:rPr>
              <w:t>6,724</w:t>
            </w:r>
          </w:p>
        </w:tc>
        <w:tc>
          <w:tcPr>
            <w:tcW w:w="1043" w:type="dxa"/>
            <w:tcBorders>
              <w:top w:val="single" w:sz="4" w:space="0" w:color="auto"/>
              <w:left w:val="nil"/>
              <w:bottom w:val="nil"/>
              <w:right w:val="nil"/>
            </w:tcBorders>
          </w:tcPr>
          <w:p w:rsidR="00D1027A" w:rsidRPr="00D1027A" w:rsidRDefault="00D1027A" w:rsidP="00D1027A">
            <w:pPr>
              <w:jc w:val="right"/>
              <w:rPr>
                <w:rFonts w:asciiTheme="minorHAnsi" w:hAnsiTheme="minorHAnsi" w:cs="Arial"/>
                <w:bCs/>
                <w:color w:val="000000"/>
                <w:lang w:eastAsia="en-GB"/>
              </w:rPr>
            </w:pPr>
            <w:r w:rsidRPr="00D1027A">
              <w:rPr>
                <w:rFonts w:asciiTheme="minorHAnsi" w:hAnsiTheme="minorHAnsi" w:cs="Arial"/>
                <w:bCs/>
                <w:color w:val="000000"/>
                <w:lang w:eastAsia="en-GB"/>
              </w:rPr>
              <w:t>-</w:t>
            </w:r>
          </w:p>
        </w:tc>
        <w:tc>
          <w:tcPr>
            <w:tcW w:w="1044" w:type="dxa"/>
            <w:tcBorders>
              <w:top w:val="single" w:sz="4" w:space="0" w:color="auto"/>
              <w:left w:val="nil"/>
              <w:bottom w:val="nil"/>
              <w:right w:val="nil"/>
            </w:tcBorders>
          </w:tcPr>
          <w:p w:rsidR="00D1027A" w:rsidRPr="00D1027A" w:rsidRDefault="00D1027A" w:rsidP="00D1027A">
            <w:pPr>
              <w:jc w:val="right"/>
              <w:rPr>
                <w:rFonts w:asciiTheme="minorHAnsi" w:hAnsiTheme="minorHAnsi" w:cs="Arial"/>
                <w:b/>
                <w:bCs/>
                <w:color w:val="000000"/>
                <w:lang w:eastAsia="en-GB"/>
              </w:rPr>
            </w:pPr>
            <w:r w:rsidRPr="00D1027A">
              <w:rPr>
                <w:rFonts w:asciiTheme="minorHAnsi" w:hAnsiTheme="minorHAnsi" w:cs="Arial"/>
                <w:b/>
                <w:bCs/>
                <w:color w:val="000000"/>
                <w:lang w:eastAsia="en-GB"/>
              </w:rPr>
              <w:t>6,724</w:t>
            </w:r>
          </w:p>
        </w:tc>
      </w:tr>
      <w:tr w:rsidR="00D1027A" w:rsidTr="00D1027A">
        <w:tc>
          <w:tcPr>
            <w:tcW w:w="3085" w:type="dxa"/>
            <w:tcBorders>
              <w:top w:val="nil"/>
              <w:left w:val="nil"/>
              <w:bottom w:val="nil"/>
              <w:right w:val="nil"/>
            </w:tcBorders>
          </w:tcPr>
          <w:p w:rsidR="00D1027A" w:rsidRPr="00D1027A" w:rsidRDefault="00D1027A" w:rsidP="004C12B8">
            <w:pPr>
              <w:jc w:val="left"/>
              <w:rPr>
                <w:rFonts w:asciiTheme="minorHAnsi" w:hAnsiTheme="minorHAnsi" w:cs="Arial"/>
                <w:bCs/>
                <w:color w:val="000000"/>
                <w:lang w:eastAsia="en-GB"/>
              </w:rPr>
            </w:pPr>
          </w:p>
          <w:p w:rsidR="00D1027A" w:rsidRPr="00D1027A" w:rsidRDefault="00D1027A" w:rsidP="004C12B8">
            <w:pPr>
              <w:jc w:val="left"/>
              <w:rPr>
                <w:rFonts w:asciiTheme="minorHAnsi" w:hAnsiTheme="minorHAnsi" w:cs="Arial"/>
                <w:bCs/>
                <w:color w:val="000000"/>
                <w:lang w:eastAsia="en-GB"/>
              </w:rPr>
            </w:pPr>
            <w:r w:rsidRPr="00D1027A">
              <w:rPr>
                <w:rFonts w:asciiTheme="minorHAnsi" w:hAnsiTheme="minorHAnsi" w:cs="Arial"/>
                <w:bCs/>
                <w:color w:val="000000"/>
                <w:lang w:eastAsia="en-GB"/>
              </w:rPr>
              <w:t>Administration expenses</w:t>
            </w:r>
          </w:p>
        </w:tc>
        <w:tc>
          <w:tcPr>
            <w:tcW w:w="618" w:type="dxa"/>
            <w:tcBorders>
              <w:top w:val="nil"/>
              <w:left w:val="nil"/>
              <w:bottom w:val="nil"/>
              <w:right w:val="nil"/>
            </w:tcBorders>
          </w:tcPr>
          <w:p w:rsidR="00D1027A" w:rsidRDefault="00D1027A" w:rsidP="004C12B8">
            <w:pPr>
              <w:jc w:val="left"/>
              <w:rPr>
                <w:rFonts w:asciiTheme="minorHAnsi" w:hAnsiTheme="minorHAnsi" w:cs="Arial"/>
                <w:b/>
                <w:bCs/>
                <w:color w:val="000000"/>
                <w:sz w:val="20"/>
                <w:szCs w:val="20"/>
                <w:lang w:eastAsia="en-GB"/>
              </w:rPr>
            </w:pPr>
          </w:p>
        </w:tc>
        <w:tc>
          <w:tcPr>
            <w:tcW w:w="1043" w:type="dxa"/>
            <w:tcBorders>
              <w:top w:val="nil"/>
              <w:left w:val="nil"/>
              <w:bottom w:val="nil"/>
              <w:right w:val="nil"/>
            </w:tcBorders>
          </w:tcPr>
          <w:p w:rsidR="00D1027A" w:rsidRPr="00D1027A" w:rsidRDefault="00D1027A" w:rsidP="00423C65">
            <w:pPr>
              <w:jc w:val="right"/>
              <w:rPr>
                <w:rFonts w:asciiTheme="minorHAnsi" w:hAnsiTheme="minorHAnsi" w:cs="Arial"/>
                <w:bCs/>
                <w:color w:val="000000"/>
                <w:lang w:eastAsia="en-GB"/>
              </w:rPr>
            </w:pPr>
          </w:p>
          <w:p w:rsidR="00D1027A" w:rsidRPr="00D1027A" w:rsidRDefault="00D1027A" w:rsidP="00423C65">
            <w:pPr>
              <w:jc w:val="right"/>
              <w:rPr>
                <w:rFonts w:asciiTheme="minorHAnsi" w:hAnsiTheme="minorHAnsi" w:cs="Arial"/>
                <w:bCs/>
                <w:color w:val="000000"/>
                <w:lang w:eastAsia="en-GB"/>
              </w:rPr>
            </w:pPr>
            <w:r w:rsidRPr="00D1027A">
              <w:rPr>
                <w:rFonts w:asciiTheme="minorHAnsi" w:hAnsiTheme="minorHAnsi" w:cs="Arial"/>
                <w:bCs/>
                <w:color w:val="000000"/>
                <w:lang w:eastAsia="en-GB"/>
              </w:rPr>
              <w:t>(5,946)</w:t>
            </w:r>
          </w:p>
        </w:tc>
        <w:tc>
          <w:tcPr>
            <w:tcW w:w="1043" w:type="dxa"/>
            <w:tcBorders>
              <w:top w:val="nil"/>
              <w:left w:val="nil"/>
              <w:bottom w:val="nil"/>
              <w:right w:val="nil"/>
            </w:tcBorders>
          </w:tcPr>
          <w:p w:rsidR="00D1027A" w:rsidRPr="00D1027A" w:rsidRDefault="00D1027A" w:rsidP="00423C65">
            <w:pPr>
              <w:jc w:val="right"/>
              <w:rPr>
                <w:rFonts w:asciiTheme="minorHAnsi" w:hAnsiTheme="minorHAnsi" w:cs="Arial"/>
                <w:bCs/>
                <w:color w:val="000000"/>
                <w:lang w:eastAsia="en-GB"/>
              </w:rPr>
            </w:pPr>
          </w:p>
          <w:p w:rsidR="00D1027A" w:rsidRPr="00D1027A" w:rsidRDefault="00D1027A" w:rsidP="00423C65">
            <w:pPr>
              <w:jc w:val="right"/>
              <w:rPr>
                <w:rFonts w:asciiTheme="minorHAnsi" w:hAnsiTheme="minorHAnsi" w:cs="Arial"/>
                <w:bCs/>
                <w:color w:val="000000"/>
                <w:lang w:eastAsia="en-GB"/>
              </w:rPr>
            </w:pPr>
            <w:r w:rsidRPr="00D1027A">
              <w:rPr>
                <w:rFonts w:asciiTheme="minorHAnsi" w:hAnsiTheme="minorHAnsi" w:cs="Arial"/>
                <w:bCs/>
                <w:color w:val="000000"/>
                <w:lang w:eastAsia="en-GB"/>
              </w:rPr>
              <w:t>(140)</w:t>
            </w:r>
          </w:p>
        </w:tc>
        <w:tc>
          <w:tcPr>
            <w:tcW w:w="1043" w:type="dxa"/>
            <w:tcBorders>
              <w:top w:val="nil"/>
              <w:left w:val="nil"/>
              <w:bottom w:val="nil"/>
              <w:right w:val="nil"/>
            </w:tcBorders>
          </w:tcPr>
          <w:p w:rsidR="00D1027A" w:rsidRPr="00D1027A" w:rsidRDefault="00D1027A" w:rsidP="00423C65">
            <w:pPr>
              <w:jc w:val="right"/>
              <w:rPr>
                <w:rFonts w:asciiTheme="minorHAnsi" w:hAnsiTheme="minorHAnsi" w:cs="Arial"/>
                <w:b/>
                <w:bCs/>
                <w:color w:val="000000"/>
                <w:lang w:eastAsia="en-GB"/>
              </w:rPr>
            </w:pPr>
          </w:p>
          <w:p w:rsidR="00D1027A" w:rsidRPr="00D1027A" w:rsidRDefault="00D1027A" w:rsidP="00423C65">
            <w:pPr>
              <w:jc w:val="right"/>
              <w:rPr>
                <w:rFonts w:asciiTheme="minorHAnsi" w:hAnsiTheme="minorHAnsi" w:cs="Arial"/>
                <w:b/>
                <w:bCs/>
                <w:color w:val="000000"/>
                <w:lang w:eastAsia="en-GB"/>
              </w:rPr>
            </w:pPr>
            <w:r w:rsidRPr="00D1027A">
              <w:rPr>
                <w:rFonts w:asciiTheme="minorHAnsi" w:hAnsiTheme="minorHAnsi" w:cs="Arial"/>
                <w:b/>
                <w:bCs/>
                <w:color w:val="000000"/>
                <w:lang w:eastAsia="en-GB"/>
              </w:rPr>
              <w:t>(6,086)</w:t>
            </w:r>
          </w:p>
        </w:tc>
        <w:tc>
          <w:tcPr>
            <w:tcW w:w="1043" w:type="dxa"/>
            <w:tcBorders>
              <w:top w:val="nil"/>
              <w:left w:val="nil"/>
              <w:bottom w:val="nil"/>
              <w:right w:val="nil"/>
            </w:tcBorders>
          </w:tcPr>
          <w:p w:rsidR="00D1027A" w:rsidRPr="00D1027A" w:rsidRDefault="00D1027A" w:rsidP="00D1027A">
            <w:pPr>
              <w:jc w:val="right"/>
              <w:rPr>
                <w:rFonts w:asciiTheme="minorHAnsi" w:hAnsiTheme="minorHAnsi" w:cs="Arial"/>
                <w:bCs/>
                <w:color w:val="000000"/>
                <w:lang w:eastAsia="en-GB"/>
              </w:rPr>
            </w:pPr>
          </w:p>
          <w:p w:rsidR="00D1027A" w:rsidRPr="00D1027A" w:rsidRDefault="00D1027A" w:rsidP="00D1027A">
            <w:pPr>
              <w:jc w:val="right"/>
              <w:rPr>
                <w:rFonts w:asciiTheme="minorHAnsi" w:hAnsiTheme="minorHAnsi" w:cs="Arial"/>
                <w:bCs/>
                <w:color w:val="000000"/>
                <w:lang w:eastAsia="en-GB"/>
              </w:rPr>
            </w:pPr>
            <w:r w:rsidRPr="00D1027A">
              <w:rPr>
                <w:rFonts w:asciiTheme="minorHAnsi" w:hAnsiTheme="minorHAnsi" w:cs="Arial"/>
                <w:bCs/>
                <w:color w:val="000000"/>
                <w:lang w:eastAsia="en-GB"/>
              </w:rPr>
              <w:t>(5,656)</w:t>
            </w:r>
          </w:p>
        </w:tc>
        <w:tc>
          <w:tcPr>
            <w:tcW w:w="1043" w:type="dxa"/>
            <w:tcBorders>
              <w:top w:val="nil"/>
              <w:left w:val="nil"/>
              <w:bottom w:val="nil"/>
              <w:right w:val="nil"/>
            </w:tcBorders>
          </w:tcPr>
          <w:p w:rsidR="00D1027A" w:rsidRPr="00D1027A" w:rsidRDefault="00D1027A" w:rsidP="00D1027A">
            <w:pPr>
              <w:jc w:val="right"/>
              <w:rPr>
                <w:rFonts w:asciiTheme="minorHAnsi" w:hAnsiTheme="minorHAnsi" w:cs="Arial"/>
                <w:bCs/>
                <w:color w:val="000000"/>
                <w:lang w:eastAsia="en-GB"/>
              </w:rPr>
            </w:pPr>
          </w:p>
          <w:p w:rsidR="00D1027A" w:rsidRPr="00D1027A" w:rsidRDefault="00D1027A" w:rsidP="00D1027A">
            <w:pPr>
              <w:jc w:val="right"/>
              <w:rPr>
                <w:rFonts w:asciiTheme="minorHAnsi" w:hAnsiTheme="minorHAnsi" w:cs="Arial"/>
                <w:bCs/>
                <w:color w:val="000000"/>
                <w:lang w:eastAsia="en-GB"/>
              </w:rPr>
            </w:pPr>
            <w:r w:rsidRPr="00D1027A">
              <w:rPr>
                <w:rFonts w:asciiTheme="minorHAnsi" w:hAnsiTheme="minorHAnsi" w:cs="Arial"/>
                <w:bCs/>
                <w:color w:val="000000"/>
                <w:lang w:eastAsia="en-GB"/>
              </w:rPr>
              <w:t>(443)</w:t>
            </w:r>
          </w:p>
        </w:tc>
        <w:tc>
          <w:tcPr>
            <w:tcW w:w="1044" w:type="dxa"/>
            <w:tcBorders>
              <w:top w:val="nil"/>
              <w:left w:val="nil"/>
              <w:bottom w:val="nil"/>
              <w:right w:val="nil"/>
            </w:tcBorders>
          </w:tcPr>
          <w:p w:rsidR="00D1027A" w:rsidRPr="00D1027A" w:rsidRDefault="00D1027A" w:rsidP="00D1027A">
            <w:pPr>
              <w:jc w:val="right"/>
              <w:rPr>
                <w:rFonts w:asciiTheme="minorHAnsi" w:hAnsiTheme="minorHAnsi" w:cs="Arial"/>
                <w:b/>
                <w:bCs/>
                <w:color w:val="000000"/>
                <w:lang w:eastAsia="en-GB"/>
              </w:rPr>
            </w:pPr>
          </w:p>
          <w:p w:rsidR="00D1027A" w:rsidRPr="00D1027A" w:rsidRDefault="00D1027A" w:rsidP="00D1027A">
            <w:pPr>
              <w:jc w:val="right"/>
              <w:rPr>
                <w:rFonts w:asciiTheme="minorHAnsi" w:hAnsiTheme="minorHAnsi" w:cs="Arial"/>
                <w:b/>
                <w:bCs/>
                <w:color w:val="000000"/>
                <w:lang w:eastAsia="en-GB"/>
              </w:rPr>
            </w:pPr>
            <w:r w:rsidRPr="00D1027A">
              <w:rPr>
                <w:rFonts w:asciiTheme="minorHAnsi" w:hAnsiTheme="minorHAnsi" w:cs="Arial"/>
                <w:b/>
                <w:bCs/>
                <w:color w:val="000000"/>
                <w:lang w:eastAsia="en-GB"/>
              </w:rPr>
              <w:t>(6,099)</w:t>
            </w:r>
          </w:p>
        </w:tc>
      </w:tr>
      <w:tr w:rsidR="00D1027A" w:rsidTr="00D1027A">
        <w:tc>
          <w:tcPr>
            <w:tcW w:w="3085" w:type="dxa"/>
            <w:tcBorders>
              <w:top w:val="nil"/>
              <w:left w:val="nil"/>
              <w:bottom w:val="nil"/>
              <w:right w:val="nil"/>
            </w:tcBorders>
          </w:tcPr>
          <w:p w:rsidR="00D1027A" w:rsidRPr="00D1027A" w:rsidRDefault="00D1027A" w:rsidP="004C12B8">
            <w:pPr>
              <w:jc w:val="left"/>
              <w:rPr>
                <w:rFonts w:asciiTheme="minorHAnsi" w:hAnsiTheme="minorHAnsi" w:cs="Arial"/>
                <w:bCs/>
                <w:color w:val="000000"/>
                <w:lang w:eastAsia="en-GB"/>
              </w:rPr>
            </w:pPr>
            <w:r w:rsidRPr="00D1027A">
              <w:rPr>
                <w:rFonts w:asciiTheme="minorHAnsi" w:hAnsiTheme="minorHAnsi" w:cs="Arial"/>
                <w:bCs/>
                <w:color w:val="000000"/>
                <w:lang w:eastAsia="en-GB"/>
              </w:rPr>
              <w:t>Other income</w:t>
            </w:r>
          </w:p>
        </w:tc>
        <w:tc>
          <w:tcPr>
            <w:tcW w:w="618" w:type="dxa"/>
            <w:tcBorders>
              <w:top w:val="nil"/>
              <w:left w:val="nil"/>
              <w:bottom w:val="nil"/>
              <w:right w:val="nil"/>
            </w:tcBorders>
          </w:tcPr>
          <w:p w:rsidR="00D1027A" w:rsidRDefault="00D1027A" w:rsidP="004C12B8">
            <w:pPr>
              <w:jc w:val="left"/>
              <w:rPr>
                <w:rFonts w:asciiTheme="minorHAnsi" w:hAnsiTheme="minorHAnsi" w:cs="Arial"/>
                <w:b/>
                <w:bCs/>
                <w:color w:val="000000"/>
                <w:sz w:val="20"/>
                <w:szCs w:val="20"/>
                <w:lang w:eastAsia="en-GB"/>
              </w:rPr>
            </w:pPr>
          </w:p>
        </w:tc>
        <w:tc>
          <w:tcPr>
            <w:tcW w:w="1043" w:type="dxa"/>
            <w:tcBorders>
              <w:top w:val="nil"/>
              <w:left w:val="nil"/>
              <w:bottom w:val="single" w:sz="4" w:space="0" w:color="auto"/>
              <w:right w:val="nil"/>
            </w:tcBorders>
          </w:tcPr>
          <w:p w:rsidR="00D1027A" w:rsidRPr="00D1027A" w:rsidRDefault="00D1027A" w:rsidP="00423C65">
            <w:pPr>
              <w:jc w:val="right"/>
              <w:rPr>
                <w:rFonts w:asciiTheme="minorHAnsi" w:hAnsiTheme="minorHAnsi" w:cs="Arial"/>
                <w:bCs/>
                <w:color w:val="000000"/>
                <w:lang w:eastAsia="en-GB"/>
              </w:rPr>
            </w:pPr>
            <w:r w:rsidRPr="00D1027A">
              <w:rPr>
                <w:rFonts w:asciiTheme="minorHAnsi" w:hAnsiTheme="minorHAnsi" w:cs="Arial"/>
                <w:bCs/>
                <w:color w:val="000000"/>
                <w:lang w:eastAsia="en-GB"/>
              </w:rPr>
              <w:t>161</w:t>
            </w:r>
          </w:p>
        </w:tc>
        <w:tc>
          <w:tcPr>
            <w:tcW w:w="1043" w:type="dxa"/>
            <w:tcBorders>
              <w:top w:val="nil"/>
              <w:left w:val="nil"/>
              <w:bottom w:val="single" w:sz="4" w:space="0" w:color="auto"/>
              <w:right w:val="nil"/>
            </w:tcBorders>
          </w:tcPr>
          <w:p w:rsidR="00D1027A" w:rsidRPr="00D1027A" w:rsidRDefault="00D1027A" w:rsidP="00423C65">
            <w:pPr>
              <w:jc w:val="right"/>
              <w:rPr>
                <w:rFonts w:asciiTheme="minorHAnsi" w:hAnsiTheme="minorHAnsi" w:cs="Arial"/>
                <w:bCs/>
                <w:color w:val="000000"/>
                <w:lang w:eastAsia="en-GB"/>
              </w:rPr>
            </w:pPr>
            <w:r w:rsidRPr="00D1027A">
              <w:rPr>
                <w:rFonts w:asciiTheme="minorHAnsi" w:hAnsiTheme="minorHAnsi" w:cs="Arial"/>
                <w:bCs/>
                <w:color w:val="000000"/>
                <w:lang w:eastAsia="en-GB"/>
              </w:rPr>
              <w:t>-</w:t>
            </w:r>
          </w:p>
        </w:tc>
        <w:tc>
          <w:tcPr>
            <w:tcW w:w="1043" w:type="dxa"/>
            <w:tcBorders>
              <w:top w:val="nil"/>
              <w:left w:val="nil"/>
              <w:bottom w:val="single" w:sz="4" w:space="0" w:color="auto"/>
              <w:right w:val="nil"/>
            </w:tcBorders>
          </w:tcPr>
          <w:p w:rsidR="00D1027A" w:rsidRPr="00D1027A" w:rsidRDefault="00D1027A" w:rsidP="00423C65">
            <w:pPr>
              <w:jc w:val="right"/>
              <w:rPr>
                <w:rFonts w:asciiTheme="minorHAnsi" w:hAnsiTheme="minorHAnsi" w:cs="Arial"/>
                <w:b/>
                <w:bCs/>
                <w:color w:val="000000"/>
                <w:lang w:eastAsia="en-GB"/>
              </w:rPr>
            </w:pPr>
            <w:r w:rsidRPr="00D1027A">
              <w:rPr>
                <w:rFonts w:asciiTheme="minorHAnsi" w:hAnsiTheme="minorHAnsi" w:cs="Arial"/>
                <w:b/>
                <w:bCs/>
                <w:color w:val="000000"/>
                <w:lang w:eastAsia="en-GB"/>
              </w:rPr>
              <w:t>161</w:t>
            </w:r>
          </w:p>
        </w:tc>
        <w:tc>
          <w:tcPr>
            <w:tcW w:w="1043" w:type="dxa"/>
            <w:tcBorders>
              <w:top w:val="nil"/>
              <w:left w:val="nil"/>
              <w:bottom w:val="single" w:sz="4" w:space="0" w:color="auto"/>
              <w:right w:val="nil"/>
            </w:tcBorders>
          </w:tcPr>
          <w:p w:rsidR="00D1027A" w:rsidRPr="00D1027A" w:rsidRDefault="00D1027A" w:rsidP="00D1027A">
            <w:pPr>
              <w:jc w:val="right"/>
              <w:rPr>
                <w:rFonts w:asciiTheme="minorHAnsi" w:hAnsiTheme="minorHAnsi" w:cs="Arial"/>
                <w:bCs/>
                <w:color w:val="000000"/>
                <w:lang w:eastAsia="en-GB"/>
              </w:rPr>
            </w:pPr>
            <w:r w:rsidRPr="00D1027A">
              <w:rPr>
                <w:rFonts w:asciiTheme="minorHAnsi" w:hAnsiTheme="minorHAnsi" w:cs="Arial"/>
                <w:bCs/>
                <w:color w:val="000000"/>
                <w:lang w:eastAsia="en-GB"/>
              </w:rPr>
              <w:t>65</w:t>
            </w:r>
          </w:p>
        </w:tc>
        <w:tc>
          <w:tcPr>
            <w:tcW w:w="1043" w:type="dxa"/>
            <w:tcBorders>
              <w:top w:val="nil"/>
              <w:left w:val="nil"/>
              <w:bottom w:val="single" w:sz="4" w:space="0" w:color="auto"/>
              <w:right w:val="nil"/>
            </w:tcBorders>
          </w:tcPr>
          <w:p w:rsidR="00D1027A" w:rsidRPr="00D1027A" w:rsidRDefault="00D1027A" w:rsidP="00D1027A">
            <w:pPr>
              <w:jc w:val="right"/>
              <w:rPr>
                <w:rFonts w:asciiTheme="minorHAnsi" w:hAnsiTheme="minorHAnsi" w:cs="Arial"/>
                <w:bCs/>
                <w:color w:val="000000"/>
                <w:lang w:eastAsia="en-GB"/>
              </w:rPr>
            </w:pPr>
            <w:r w:rsidRPr="00D1027A">
              <w:rPr>
                <w:rFonts w:asciiTheme="minorHAnsi" w:hAnsiTheme="minorHAnsi" w:cs="Arial"/>
                <w:bCs/>
                <w:color w:val="000000"/>
                <w:lang w:eastAsia="en-GB"/>
              </w:rPr>
              <w:t>694</w:t>
            </w:r>
          </w:p>
        </w:tc>
        <w:tc>
          <w:tcPr>
            <w:tcW w:w="1044" w:type="dxa"/>
            <w:tcBorders>
              <w:top w:val="nil"/>
              <w:left w:val="nil"/>
              <w:bottom w:val="single" w:sz="4" w:space="0" w:color="auto"/>
              <w:right w:val="nil"/>
            </w:tcBorders>
          </w:tcPr>
          <w:p w:rsidR="00D1027A" w:rsidRPr="00D1027A" w:rsidRDefault="00D1027A" w:rsidP="00D1027A">
            <w:pPr>
              <w:jc w:val="right"/>
              <w:rPr>
                <w:rFonts w:asciiTheme="minorHAnsi" w:hAnsiTheme="minorHAnsi" w:cs="Arial"/>
                <w:b/>
                <w:bCs/>
                <w:color w:val="000000"/>
                <w:lang w:eastAsia="en-GB"/>
              </w:rPr>
            </w:pPr>
            <w:r w:rsidRPr="00D1027A">
              <w:rPr>
                <w:rFonts w:asciiTheme="minorHAnsi" w:hAnsiTheme="minorHAnsi" w:cs="Arial"/>
                <w:b/>
                <w:bCs/>
                <w:color w:val="000000"/>
                <w:lang w:eastAsia="en-GB"/>
              </w:rPr>
              <w:t>759</w:t>
            </w:r>
          </w:p>
        </w:tc>
      </w:tr>
      <w:tr w:rsidR="00D1027A" w:rsidTr="00D1027A">
        <w:tc>
          <w:tcPr>
            <w:tcW w:w="3085" w:type="dxa"/>
            <w:tcBorders>
              <w:top w:val="nil"/>
              <w:left w:val="nil"/>
              <w:bottom w:val="nil"/>
              <w:right w:val="nil"/>
            </w:tcBorders>
          </w:tcPr>
          <w:p w:rsidR="00D1027A" w:rsidRPr="00D1027A" w:rsidRDefault="00D1027A" w:rsidP="004C12B8">
            <w:pPr>
              <w:jc w:val="left"/>
              <w:rPr>
                <w:rFonts w:asciiTheme="minorHAnsi" w:hAnsiTheme="minorHAnsi" w:cs="Arial"/>
                <w:b/>
                <w:bCs/>
                <w:color w:val="000000"/>
                <w:lang w:eastAsia="en-GB"/>
              </w:rPr>
            </w:pPr>
            <w:r w:rsidRPr="00D1027A">
              <w:rPr>
                <w:rFonts w:asciiTheme="minorHAnsi" w:hAnsiTheme="minorHAnsi" w:cs="Arial"/>
                <w:b/>
                <w:bCs/>
                <w:color w:val="000000"/>
                <w:lang w:eastAsia="en-GB"/>
              </w:rPr>
              <w:t>Operating profit/(loss)</w:t>
            </w:r>
          </w:p>
        </w:tc>
        <w:tc>
          <w:tcPr>
            <w:tcW w:w="618" w:type="dxa"/>
            <w:tcBorders>
              <w:top w:val="nil"/>
              <w:left w:val="nil"/>
              <w:bottom w:val="nil"/>
              <w:right w:val="nil"/>
            </w:tcBorders>
          </w:tcPr>
          <w:p w:rsidR="00D1027A" w:rsidRDefault="00D1027A" w:rsidP="004C12B8">
            <w:pPr>
              <w:jc w:val="left"/>
              <w:rPr>
                <w:rFonts w:asciiTheme="minorHAnsi" w:hAnsiTheme="minorHAnsi" w:cs="Arial"/>
                <w:b/>
                <w:bCs/>
                <w:color w:val="000000"/>
                <w:sz w:val="20"/>
                <w:szCs w:val="20"/>
                <w:lang w:eastAsia="en-GB"/>
              </w:rPr>
            </w:pPr>
          </w:p>
        </w:tc>
        <w:tc>
          <w:tcPr>
            <w:tcW w:w="1043" w:type="dxa"/>
            <w:tcBorders>
              <w:top w:val="single" w:sz="4" w:space="0" w:color="auto"/>
              <w:left w:val="nil"/>
              <w:bottom w:val="nil"/>
              <w:right w:val="nil"/>
            </w:tcBorders>
          </w:tcPr>
          <w:p w:rsidR="00D1027A" w:rsidRPr="00D1027A" w:rsidRDefault="00D1027A" w:rsidP="00423C65">
            <w:pPr>
              <w:jc w:val="right"/>
              <w:rPr>
                <w:rFonts w:asciiTheme="minorHAnsi" w:hAnsiTheme="minorHAnsi" w:cs="Arial"/>
                <w:bCs/>
                <w:color w:val="000000"/>
                <w:lang w:eastAsia="en-GB"/>
              </w:rPr>
            </w:pPr>
            <w:r w:rsidRPr="00D1027A">
              <w:rPr>
                <w:rFonts w:asciiTheme="minorHAnsi" w:hAnsiTheme="minorHAnsi" w:cs="Arial"/>
                <w:bCs/>
                <w:color w:val="000000"/>
                <w:lang w:eastAsia="en-GB"/>
              </w:rPr>
              <w:t>3,060</w:t>
            </w:r>
          </w:p>
        </w:tc>
        <w:tc>
          <w:tcPr>
            <w:tcW w:w="1043" w:type="dxa"/>
            <w:tcBorders>
              <w:top w:val="single" w:sz="4" w:space="0" w:color="auto"/>
              <w:left w:val="nil"/>
              <w:bottom w:val="nil"/>
              <w:right w:val="nil"/>
            </w:tcBorders>
          </w:tcPr>
          <w:p w:rsidR="00D1027A" w:rsidRPr="00D1027A" w:rsidRDefault="00D1027A" w:rsidP="00423C65">
            <w:pPr>
              <w:jc w:val="right"/>
              <w:rPr>
                <w:rFonts w:asciiTheme="minorHAnsi" w:hAnsiTheme="minorHAnsi" w:cs="Arial"/>
                <w:bCs/>
                <w:color w:val="000000"/>
                <w:lang w:eastAsia="en-GB"/>
              </w:rPr>
            </w:pPr>
            <w:r w:rsidRPr="00D1027A">
              <w:rPr>
                <w:rFonts w:asciiTheme="minorHAnsi" w:hAnsiTheme="minorHAnsi" w:cs="Arial"/>
                <w:bCs/>
                <w:color w:val="000000"/>
                <w:lang w:eastAsia="en-GB"/>
              </w:rPr>
              <w:t>(259)</w:t>
            </w:r>
          </w:p>
        </w:tc>
        <w:tc>
          <w:tcPr>
            <w:tcW w:w="1043" w:type="dxa"/>
            <w:tcBorders>
              <w:top w:val="single" w:sz="4" w:space="0" w:color="auto"/>
              <w:left w:val="nil"/>
              <w:bottom w:val="nil"/>
              <w:right w:val="nil"/>
            </w:tcBorders>
          </w:tcPr>
          <w:p w:rsidR="00D1027A" w:rsidRPr="00D1027A" w:rsidRDefault="00D1027A" w:rsidP="00423C65">
            <w:pPr>
              <w:jc w:val="right"/>
              <w:rPr>
                <w:rFonts w:asciiTheme="minorHAnsi" w:hAnsiTheme="minorHAnsi" w:cs="Arial"/>
                <w:b/>
                <w:bCs/>
                <w:color w:val="000000"/>
                <w:lang w:eastAsia="en-GB"/>
              </w:rPr>
            </w:pPr>
            <w:r w:rsidRPr="00D1027A">
              <w:rPr>
                <w:rFonts w:asciiTheme="minorHAnsi" w:hAnsiTheme="minorHAnsi" w:cs="Arial"/>
                <w:b/>
                <w:bCs/>
                <w:color w:val="000000"/>
                <w:lang w:eastAsia="en-GB"/>
              </w:rPr>
              <w:t>2,801</w:t>
            </w:r>
          </w:p>
        </w:tc>
        <w:tc>
          <w:tcPr>
            <w:tcW w:w="1043" w:type="dxa"/>
            <w:tcBorders>
              <w:top w:val="single" w:sz="4" w:space="0" w:color="auto"/>
              <w:left w:val="nil"/>
              <w:bottom w:val="nil"/>
              <w:right w:val="nil"/>
            </w:tcBorders>
          </w:tcPr>
          <w:p w:rsidR="00D1027A" w:rsidRPr="00D1027A" w:rsidRDefault="00D1027A" w:rsidP="00D1027A">
            <w:pPr>
              <w:jc w:val="right"/>
              <w:rPr>
                <w:rFonts w:asciiTheme="minorHAnsi" w:hAnsiTheme="minorHAnsi" w:cs="Arial"/>
                <w:bCs/>
                <w:color w:val="000000"/>
                <w:lang w:eastAsia="en-GB"/>
              </w:rPr>
            </w:pPr>
            <w:r w:rsidRPr="00D1027A">
              <w:rPr>
                <w:rFonts w:asciiTheme="minorHAnsi" w:hAnsiTheme="minorHAnsi" w:cs="Arial"/>
                <w:bCs/>
                <w:color w:val="000000"/>
                <w:lang w:eastAsia="en-GB"/>
              </w:rPr>
              <w:t>1,133</w:t>
            </w:r>
          </w:p>
        </w:tc>
        <w:tc>
          <w:tcPr>
            <w:tcW w:w="1043" w:type="dxa"/>
            <w:tcBorders>
              <w:top w:val="single" w:sz="4" w:space="0" w:color="auto"/>
              <w:left w:val="nil"/>
              <w:bottom w:val="nil"/>
              <w:right w:val="nil"/>
            </w:tcBorders>
          </w:tcPr>
          <w:p w:rsidR="00D1027A" w:rsidRPr="00D1027A" w:rsidRDefault="00D1027A" w:rsidP="00D1027A">
            <w:pPr>
              <w:jc w:val="right"/>
              <w:rPr>
                <w:rFonts w:asciiTheme="minorHAnsi" w:hAnsiTheme="minorHAnsi" w:cs="Arial"/>
                <w:bCs/>
                <w:color w:val="000000"/>
                <w:lang w:eastAsia="en-GB"/>
              </w:rPr>
            </w:pPr>
            <w:r w:rsidRPr="00D1027A">
              <w:rPr>
                <w:rFonts w:asciiTheme="minorHAnsi" w:hAnsiTheme="minorHAnsi" w:cs="Arial"/>
                <w:bCs/>
                <w:color w:val="000000"/>
                <w:lang w:eastAsia="en-GB"/>
              </w:rPr>
              <w:t>251</w:t>
            </w:r>
          </w:p>
        </w:tc>
        <w:tc>
          <w:tcPr>
            <w:tcW w:w="1044" w:type="dxa"/>
            <w:tcBorders>
              <w:top w:val="single" w:sz="4" w:space="0" w:color="auto"/>
              <w:left w:val="nil"/>
              <w:bottom w:val="nil"/>
              <w:right w:val="nil"/>
            </w:tcBorders>
          </w:tcPr>
          <w:p w:rsidR="00D1027A" w:rsidRPr="00D1027A" w:rsidRDefault="00D1027A" w:rsidP="00D1027A">
            <w:pPr>
              <w:jc w:val="right"/>
              <w:rPr>
                <w:rFonts w:asciiTheme="minorHAnsi" w:hAnsiTheme="minorHAnsi" w:cs="Arial"/>
                <w:b/>
                <w:bCs/>
                <w:color w:val="000000"/>
                <w:lang w:eastAsia="en-GB"/>
              </w:rPr>
            </w:pPr>
            <w:r w:rsidRPr="00D1027A">
              <w:rPr>
                <w:rFonts w:asciiTheme="minorHAnsi" w:hAnsiTheme="minorHAnsi" w:cs="Arial"/>
                <w:b/>
                <w:bCs/>
                <w:color w:val="000000"/>
                <w:lang w:eastAsia="en-GB"/>
              </w:rPr>
              <w:t>1,384</w:t>
            </w:r>
          </w:p>
        </w:tc>
      </w:tr>
      <w:tr w:rsidR="00D1027A" w:rsidTr="00D1027A">
        <w:tc>
          <w:tcPr>
            <w:tcW w:w="3085" w:type="dxa"/>
            <w:tcBorders>
              <w:top w:val="nil"/>
              <w:left w:val="nil"/>
              <w:bottom w:val="nil"/>
              <w:right w:val="nil"/>
            </w:tcBorders>
          </w:tcPr>
          <w:p w:rsidR="00D1027A" w:rsidRPr="00D1027A" w:rsidRDefault="00D1027A" w:rsidP="004C12B8">
            <w:pPr>
              <w:jc w:val="left"/>
              <w:rPr>
                <w:rFonts w:asciiTheme="minorHAnsi" w:hAnsiTheme="minorHAnsi" w:cs="Arial"/>
                <w:bCs/>
                <w:color w:val="000000"/>
                <w:lang w:eastAsia="en-GB"/>
              </w:rPr>
            </w:pPr>
            <w:r w:rsidRPr="00D1027A">
              <w:rPr>
                <w:rFonts w:asciiTheme="minorHAnsi" w:hAnsiTheme="minorHAnsi" w:cs="Arial"/>
                <w:bCs/>
                <w:color w:val="000000"/>
                <w:lang w:eastAsia="en-GB"/>
              </w:rPr>
              <w:t>Finance costs</w:t>
            </w:r>
          </w:p>
        </w:tc>
        <w:tc>
          <w:tcPr>
            <w:tcW w:w="618" w:type="dxa"/>
            <w:tcBorders>
              <w:top w:val="nil"/>
              <w:left w:val="nil"/>
              <w:bottom w:val="nil"/>
              <w:right w:val="nil"/>
            </w:tcBorders>
          </w:tcPr>
          <w:p w:rsidR="00D1027A" w:rsidRDefault="00D1027A" w:rsidP="004C12B8">
            <w:pPr>
              <w:jc w:val="left"/>
              <w:rPr>
                <w:rFonts w:asciiTheme="minorHAnsi" w:hAnsiTheme="minorHAnsi" w:cs="Arial"/>
                <w:b/>
                <w:bCs/>
                <w:color w:val="000000"/>
                <w:sz w:val="20"/>
                <w:szCs w:val="20"/>
                <w:lang w:eastAsia="en-GB"/>
              </w:rPr>
            </w:pPr>
          </w:p>
        </w:tc>
        <w:tc>
          <w:tcPr>
            <w:tcW w:w="1043" w:type="dxa"/>
            <w:tcBorders>
              <w:top w:val="nil"/>
              <w:left w:val="nil"/>
              <w:bottom w:val="single" w:sz="4" w:space="0" w:color="auto"/>
              <w:right w:val="nil"/>
            </w:tcBorders>
          </w:tcPr>
          <w:p w:rsidR="00D1027A" w:rsidRPr="00D1027A" w:rsidRDefault="00D1027A" w:rsidP="00423C65">
            <w:pPr>
              <w:jc w:val="right"/>
              <w:rPr>
                <w:rFonts w:asciiTheme="minorHAnsi" w:hAnsiTheme="minorHAnsi" w:cs="Arial"/>
                <w:bCs/>
                <w:color w:val="000000"/>
                <w:lang w:eastAsia="en-GB"/>
              </w:rPr>
            </w:pPr>
            <w:r w:rsidRPr="00D1027A">
              <w:rPr>
                <w:rFonts w:asciiTheme="minorHAnsi" w:hAnsiTheme="minorHAnsi" w:cs="Arial"/>
                <w:bCs/>
                <w:color w:val="000000"/>
                <w:lang w:eastAsia="en-GB"/>
              </w:rPr>
              <w:t>(199)</w:t>
            </w:r>
          </w:p>
        </w:tc>
        <w:tc>
          <w:tcPr>
            <w:tcW w:w="1043" w:type="dxa"/>
            <w:tcBorders>
              <w:top w:val="nil"/>
              <w:left w:val="nil"/>
              <w:bottom w:val="single" w:sz="4" w:space="0" w:color="auto"/>
              <w:right w:val="nil"/>
            </w:tcBorders>
          </w:tcPr>
          <w:p w:rsidR="00D1027A" w:rsidRPr="00D1027A" w:rsidRDefault="00D1027A" w:rsidP="00423C65">
            <w:pPr>
              <w:jc w:val="right"/>
              <w:rPr>
                <w:rFonts w:asciiTheme="minorHAnsi" w:hAnsiTheme="minorHAnsi" w:cs="Arial"/>
                <w:bCs/>
                <w:color w:val="000000"/>
                <w:lang w:eastAsia="en-GB"/>
              </w:rPr>
            </w:pPr>
            <w:r w:rsidRPr="00D1027A">
              <w:rPr>
                <w:rFonts w:asciiTheme="minorHAnsi" w:hAnsiTheme="minorHAnsi" w:cs="Arial"/>
                <w:bCs/>
                <w:color w:val="000000"/>
                <w:lang w:eastAsia="en-GB"/>
              </w:rPr>
              <w:t>-</w:t>
            </w:r>
          </w:p>
        </w:tc>
        <w:tc>
          <w:tcPr>
            <w:tcW w:w="1043" w:type="dxa"/>
            <w:tcBorders>
              <w:top w:val="nil"/>
              <w:left w:val="nil"/>
              <w:bottom w:val="single" w:sz="4" w:space="0" w:color="auto"/>
              <w:right w:val="nil"/>
            </w:tcBorders>
          </w:tcPr>
          <w:p w:rsidR="00D1027A" w:rsidRPr="00D1027A" w:rsidRDefault="00D1027A" w:rsidP="00423C65">
            <w:pPr>
              <w:jc w:val="right"/>
              <w:rPr>
                <w:rFonts w:asciiTheme="minorHAnsi" w:hAnsiTheme="minorHAnsi" w:cs="Arial"/>
                <w:b/>
                <w:bCs/>
                <w:color w:val="000000"/>
                <w:lang w:eastAsia="en-GB"/>
              </w:rPr>
            </w:pPr>
            <w:r w:rsidRPr="00D1027A">
              <w:rPr>
                <w:rFonts w:asciiTheme="minorHAnsi" w:hAnsiTheme="minorHAnsi" w:cs="Arial"/>
                <w:b/>
                <w:bCs/>
                <w:color w:val="000000"/>
                <w:lang w:eastAsia="en-GB"/>
              </w:rPr>
              <w:t>(199)</w:t>
            </w:r>
          </w:p>
        </w:tc>
        <w:tc>
          <w:tcPr>
            <w:tcW w:w="1043" w:type="dxa"/>
            <w:tcBorders>
              <w:top w:val="nil"/>
              <w:left w:val="nil"/>
              <w:bottom w:val="single" w:sz="4" w:space="0" w:color="auto"/>
              <w:right w:val="nil"/>
            </w:tcBorders>
          </w:tcPr>
          <w:p w:rsidR="00D1027A" w:rsidRPr="00D1027A" w:rsidRDefault="00D1027A" w:rsidP="00D1027A">
            <w:pPr>
              <w:jc w:val="right"/>
              <w:rPr>
                <w:rFonts w:asciiTheme="minorHAnsi" w:hAnsiTheme="minorHAnsi" w:cs="Arial"/>
                <w:bCs/>
                <w:color w:val="000000"/>
                <w:lang w:eastAsia="en-GB"/>
              </w:rPr>
            </w:pPr>
            <w:r w:rsidRPr="00D1027A">
              <w:rPr>
                <w:rFonts w:asciiTheme="minorHAnsi" w:hAnsiTheme="minorHAnsi" w:cs="Arial"/>
                <w:bCs/>
                <w:color w:val="000000"/>
                <w:lang w:eastAsia="en-GB"/>
              </w:rPr>
              <w:t>(977)</w:t>
            </w:r>
          </w:p>
        </w:tc>
        <w:tc>
          <w:tcPr>
            <w:tcW w:w="1043" w:type="dxa"/>
            <w:tcBorders>
              <w:top w:val="nil"/>
              <w:left w:val="nil"/>
              <w:bottom w:val="single" w:sz="4" w:space="0" w:color="auto"/>
              <w:right w:val="nil"/>
            </w:tcBorders>
          </w:tcPr>
          <w:p w:rsidR="00D1027A" w:rsidRPr="00D1027A" w:rsidRDefault="00D1027A" w:rsidP="00D1027A">
            <w:pPr>
              <w:jc w:val="right"/>
              <w:rPr>
                <w:rFonts w:asciiTheme="minorHAnsi" w:hAnsiTheme="minorHAnsi" w:cs="Arial"/>
                <w:bCs/>
                <w:color w:val="000000"/>
                <w:lang w:eastAsia="en-GB"/>
              </w:rPr>
            </w:pPr>
            <w:r w:rsidRPr="00D1027A">
              <w:rPr>
                <w:rFonts w:asciiTheme="minorHAnsi" w:hAnsiTheme="minorHAnsi" w:cs="Arial"/>
                <w:bCs/>
                <w:color w:val="000000"/>
                <w:lang w:eastAsia="en-GB"/>
              </w:rPr>
              <w:t>-</w:t>
            </w:r>
          </w:p>
        </w:tc>
        <w:tc>
          <w:tcPr>
            <w:tcW w:w="1044" w:type="dxa"/>
            <w:tcBorders>
              <w:top w:val="nil"/>
              <w:left w:val="nil"/>
              <w:bottom w:val="single" w:sz="4" w:space="0" w:color="auto"/>
              <w:right w:val="nil"/>
            </w:tcBorders>
          </w:tcPr>
          <w:p w:rsidR="00D1027A" w:rsidRPr="00D1027A" w:rsidRDefault="00D1027A" w:rsidP="00D1027A">
            <w:pPr>
              <w:jc w:val="right"/>
              <w:rPr>
                <w:rFonts w:asciiTheme="minorHAnsi" w:hAnsiTheme="minorHAnsi" w:cs="Arial"/>
                <w:b/>
                <w:bCs/>
                <w:color w:val="000000"/>
                <w:lang w:eastAsia="en-GB"/>
              </w:rPr>
            </w:pPr>
            <w:r w:rsidRPr="00D1027A">
              <w:rPr>
                <w:rFonts w:asciiTheme="minorHAnsi" w:hAnsiTheme="minorHAnsi" w:cs="Arial"/>
                <w:b/>
                <w:bCs/>
                <w:color w:val="000000"/>
                <w:lang w:eastAsia="en-GB"/>
              </w:rPr>
              <w:t>(977)</w:t>
            </w:r>
          </w:p>
        </w:tc>
      </w:tr>
      <w:tr w:rsidR="00D1027A" w:rsidTr="00D1027A">
        <w:tc>
          <w:tcPr>
            <w:tcW w:w="3085" w:type="dxa"/>
            <w:tcBorders>
              <w:top w:val="nil"/>
              <w:left w:val="nil"/>
              <w:bottom w:val="nil"/>
              <w:right w:val="nil"/>
            </w:tcBorders>
          </w:tcPr>
          <w:p w:rsidR="00D1027A" w:rsidRDefault="00D1027A" w:rsidP="004C12B8">
            <w:pPr>
              <w:jc w:val="left"/>
              <w:rPr>
                <w:rFonts w:asciiTheme="minorHAnsi" w:hAnsiTheme="minorHAnsi" w:cs="Arial"/>
                <w:b/>
                <w:bCs/>
                <w:color w:val="000000"/>
                <w:lang w:eastAsia="en-GB"/>
              </w:rPr>
            </w:pPr>
          </w:p>
          <w:p w:rsidR="00D1027A" w:rsidRPr="00D1027A" w:rsidRDefault="00D1027A" w:rsidP="004C12B8">
            <w:pPr>
              <w:jc w:val="left"/>
              <w:rPr>
                <w:rFonts w:asciiTheme="minorHAnsi" w:hAnsiTheme="minorHAnsi" w:cs="Arial"/>
                <w:b/>
                <w:bCs/>
                <w:color w:val="000000"/>
                <w:lang w:eastAsia="en-GB"/>
              </w:rPr>
            </w:pPr>
            <w:r w:rsidRPr="00D1027A">
              <w:rPr>
                <w:rFonts w:asciiTheme="minorHAnsi" w:hAnsiTheme="minorHAnsi" w:cs="Arial"/>
                <w:b/>
                <w:bCs/>
                <w:color w:val="000000"/>
                <w:lang w:eastAsia="en-GB"/>
              </w:rPr>
              <w:t>Profit/(loss) before taxation</w:t>
            </w:r>
          </w:p>
        </w:tc>
        <w:tc>
          <w:tcPr>
            <w:tcW w:w="618" w:type="dxa"/>
            <w:tcBorders>
              <w:top w:val="nil"/>
              <w:left w:val="nil"/>
              <w:bottom w:val="nil"/>
              <w:right w:val="nil"/>
            </w:tcBorders>
          </w:tcPr>
          <w:p w:rsidR="00D1027A" w:rsidRDefault="00D1027A" w:rsidP="004C12B8">
            <w:pPr>
              <w:jc w:val="left"/>
              <w:rPr>
                <w:rFonts w:asciiTheme="minorHAnsi" w:hAnsiTheme="minorHAnsi" w:cs="Arial"/>
                <w:b/>
                <w:bCs/>
                <w:color w:val="000000"/>
                <w:sz w:val="20"/>
                <w:szCs w:val="20"/>
                <w:lang w:eastAsia="en-GB"/>
              </w:rPr>
            </w:pPr>
          </w:p>
        </w:tc>
        <w:tc>
          <w:tcPr>
            <w:tcW w:w="1043" w:type="dxa"/>
            <w:tcBorders>
              <w:top w:val="single" w:sz="4" w:space="0" w:color="auto"/>
              <w:left w:val="nil"/>
              <w:bottom w:val="nil"/>
              <w:right w:val="nil"/>
            </w:tcBorders>
          </w:tcPr>
          <w:p w:rsidR="00D1027A" w:rsidRDefault="00D1027A" w:rsidP="00423C65">
            <w:pPr>
              <w:jc w:val="right"/>
              <w:rPr>
                <w:rFonts w:asciiTheme="minorHAnsi" w:hAnsiTheme="minorHAnsi" w:cs="Arial"/>
                <w:bCs/>
                <w:color w:val="000000"/>
                <w:lang w:eastAsia="en-GB"/>
              </w:rPr>
            </w:pPr>
          </w:p>
          <w:p w:rsidR="00D1027A" w:rsidRPr="00D1027A" w:rsidRDefault="00D1027A" w:rsidP="00423C65">
            <w:pPr>
              <w:jc w:val="right"/>
              <w:rPr>
                <w:rFonts w:asciiTheme="minorHAnsi" w:hAnsiTheme="minorHAnsi" w:cs="Arial"/>
                <w:bCs/>
                <w:color w:val="000000"/>
                <w:lang w:eastAsia="en-GB"/>
              </w:rPr>
            </w:pPr>
            <w:r w:rsidRPr="00D1027A">
              <w:rPr>
                <w:rFonts w:asciiTheme="minorHAnsi" w:hAnsiTheme="minorHAnsi" w:cs="Arial"/>
                <w:bCs/>
                <w:color w:val="000000"/>
                <w:lang w:eastAsia="en-GB"/>
              </w:rPr>
              <w:t>2,861</w:t>
            </w:r>
          </w:p>
        </w:tc>
        <w:tc>
          <w:tcPr>
            <w:tcW w:w="1043" w:type="dxa"/>
            <w:tcBorders>
              <w:top w:val="single" w:sz="4" w:space="0" w:color="auto"/>
              <w:left w:val="nil"/>
              <w:bottom w:val="nil"/>
              <w:right w:val="nil"/>
            </w:tcBorders>
          </w:tcPr>
          <w:p w:rsidR="00D1027A" w:rsidRDefault="00D1027A" w:rsidP="00423C65">
            <w:pPr>
              <w:jc w:val="right"/>
              <w:rPr>
                <w:rFonts w:asciiTheme="minorHAnsi" w:hAnsiTheme="minorHAnsi" w:cs="Arial"/>
                <w:bCs/>
                <w:color w:val="000000"/>
                <w:lang w:eastAsia="en-GB"/>
              </w:rPr>
            </w:pPr>
          </w:p>
          <w:p w:rsidR="00D1027A" w:rsidRPr="00D1027A" w:rsidRDefault="00D1027A" w:rsidP="00423C65">
            <w:pPr>
              <w:jc w:val="right"/>
              <w:rPr>
                <w:rFonts w:asciiTheme="minorHAnsi" w:hAnsiTheme="minorHAnsi" w:cs="Arial"/>
                <w:bCs/>
                <w:color w:val="000000"/>
                <w:lang w:eastAsia="en-GB"/>
              </w:rPr>
            </w:pPr>
            <w:r w:rsidRPr="00D1027A">
              <w:rPr>
                <w:rFonts w:asciiTheme="minorHAnsi" w:hAnsiTheme="minorHAnsi" w:cs="Arial"/>
                <w:bCs/>
                <w:color w:val="000000"/>
                <w:lang w:eastAsia="en-GB"/>
              </w:rPr>
              <w:t>(259)</w:t>
            </w:r>
          </w:p>
        </w:tc>
        <w:tc>
          <w:tcPr>
            <w:tcW w:w="1043" w:type="dxa"/>
            <w:tcBorders>
              <w:top w:val="single" w:sz="4" w:space="0" w:color="auto"/>
              <w:left w:val="nil"/>
              <w:bottom w:val="nil"/>
              <w:right w:val="nil"/>
            </w:tcBorders>
          </w:tcPr>
          <w:p w:rsidR="00D1027A" w:rsidRDefault="00D1027A" w:rsidP="00423C65">
            <w:pPr>
              <w:jc w:val="right"/>
              <w:rPr>
                <w:rFonts w:asciiTheme="minorHAnsi" w:hAnsiTheme="minorHAnsi" w:cs="Arial"/>
                <w:b/>
                <w:bCs/>
                <w:color w:val="000000"/>
                <w:lang w:eastAsia="en-GB"/>
              </w:rPr>
            </w:pPr>
          </w:p>
          <w:p w:rsidR="00D1027A" w:rsidRPr="00D1027A" w:rsidRDefault="00D1027A" w:rsidP="00423C65">
            <w:pPr>
              <w:jc w:val="right"/>
              <w:rPr>
                <w:rFonts w:asciiTheme="minorHAnsi" w:hAnsiTheme="minorHAnsi" w:cs="Arial"/>
                <w:b/>
                <w:bCs/>
                <w:color w:val="000000"/>
                <w:lang w:eastAsia="en-GB"/>
              </w:rPr>
            </w:pPr>
            <w:r w:rsidRPr="00D1027A">
              <w:rPr>
                <w:rFonts w:asciiTheme="minorHAnsi" w:hAnsiTheme="minorHAnsi" w:cs="Arial"/>
                <w:b/>
                <w:bCs/>
                <w:color w:val="000000"/>
                <w:lang w:eastAsia="en-GB"/>
              </w:rPr>
              <w:t>2,602</w:t>
            </w:r>
          </w:p>
        </w:tc>
        <w:tc>
          <w:tcPr>
            <w:tcW w:w="1043" w:type="dxa"/>
            <w:tcBorders>
              <w:top w:val="single" w:sz="4" w:space="0" w:color="auto"/>
              <w:left w:val="nil"/>
              <w:bottom w:val="nil"/>
              <w:right w:val="nil"/>
            </w:tcBorders>
          </w:tcPr>
          <w:p w:rsidR="00D1027A" w:rsidRDefault="00D1027A" w:rsidP="00D1027A">
            <w:pPr>
              <w:jc w:val="right"/>
              <w:rPr>
                <w:rFonts w:asciiTheme="minorHAnsi" w:hAnsiTheme="minorHAnsi" w:cs="Arial"/>
                <w:bCs/>
                <w:color w:val="000000"/>
                <w:lang w:eastAsia="en-GB"/>
              </w:rPr>
            </w:pPr>
          </w:p>
          <w:p w:rsidR="00D1027A" w:rsidRPr="00D1027A" w:rsidRDefault="00D1027A" w:rsidP="00D1027A">
            <w:pPr>
              <w:jc w:val="right"/>
              <w:rPr>
                <w:rFonts w:asciiTheme="minorHAnsi" w:hAnsiTheme="minorHAnsi" w:cs="Arial"/>
                <w:bCs/>
                <w:color w:val="000000"/>
                <w:lang w:eastAsia="en-GB"/>
              </w:rPr>
            </w:pPr>
            <w:r w:rsidRPr="00D1027A">
              <w:rPr>
                <w:rFonts w:asciiTheme="minorHAnsi" w:hAnsiTheme="minorHAnsi" w:cs="Arial"/>
                <w:bCs/>
                <w:color w:val="000000"/>
                <w:lang w:eastAsia="en-GB"/>
              </w:rPr>
              <w:t>156</w:t>
            </w:r>
          </w:p>
        </w:tc>
        <w:tc>
          <w:tcPr>
            <w:tcW w:w="1043" w:type="dxa"/>
            <w:tcBorders>
              <w:top w:val="single" w:sz="4" w:space="0" w:color="auto"/>
              <w:left w:val="nil"/>
              <w:bottom w:val="nil"/>
              <w:right w:val="nil"/>
            </w:tcBorders>
          </w:tcPr>
          <w:p w:rsidR="00D1027A" w:rsidRDefault="00D1027A" w:rsidP="00D1027A">
            <w:pPr>
              <w:jc w:val="right"/>
              <w:rPr>
                <w:rFonts w:asciiTheme="minorHAnsi" w:hAnsiTheme="minorHAnsi" w:cs="Arial"/>
                <w:bCs/>
                <w:color w:val="000000"/>
                <w:lang w:eastAsia="en-GB"/>
              </w:rPr>
            </w:pPr>
          </w:p>
          <w:p w:rsidR="00D1027A" w:rsidRPr="00D1027A" w:rsidRDefault="00D1027A" w:rsidP="00D1027A">
            <w:pPr>
              <w:jc w:val="right"/>
              <w:rPr>
                <w:rFonts w:asciiTheme="minorHAnsi" w:hAnsiTheme="minorHAnsi" w:cs="Arial"/>
                <w:bCs/>
                <w:color w:val="000000"/>
                <w:lang w:eastAsia="en-GB"/>
              </w:rPr>
            </w:pPr>
            <w:r w:rsidRPr="00D1027A">
              <w:rPr>
                <w:rFonts w:asciiTheme="minorHAnsi" w:hAnsiTheme="minorHAnsi" w:cs="Arial"/>
                <w:bCs/>
                <w:color w:val="000000"/>
                <w:lang w:eastAsia="en-GB"/>
              </w:rPr>
              <w:t>251</w:t>
            </w:r>
          </w:p>
        </w:tc>
        <w:tc>
          <w:tcPr>
            <w:tcW w:w="1044" w:type="dxa"/>
            <w:tcBorders>
              <w:top w:val="single" w:sz="4" w:space="0" w:color="auto"/>
              <w:left w:val="nil"/>
              <w:bottom w:val="nil"/>
              <w:right w:val="nil"/>
            </w:tcBorders>
          </w:tcPr>
          <w:p w:rsidR="00D1027A" w:rsidRDefault="00D1027A" w:rsidP="00D1027A">
            <w:pPr>
              <w:jc w:val="right"/>
              <w:rPr>
                <w:rFonts w:asciiTheme="minorHAnsi" w:hAnsiTheme="minorHAnsi" w:cs="Arial"/>
                <w:b/>
                <w:bCs/>
                <w:color w:val="000000"/>
                <w:lang w:eastAsia="en-GB"/>
              </w:rPr>
            </w:pPr>
          </w:p>
          <w:p w:rsidR="00D1027A" w:rsidRPr="00D1027A" w:rsidRDefault="00D1027A" w:rsidP="00D1027A">
            <w:pPr>
              <w:jc w:val="right"/>
              <w:rPr>
                <w:rFonts w:asciiTheme="minorHAnsi" w:hAnsiTheme="minorHAnsi" w:cs="Arial"/>
                <w:b/>
                <w:bCs/>
                <w:color w:val="000000"/>
                <w:lang w:eastAsia="en-GB"/>
              </w:rPr>
            </w:pPr>
            <w:r>
              <w:rPr>
                <w:rFonts w:asciiTheme="minorHAnsi" w:hAnsiTheme="minorHAnsi" w:cs="Arial"/>
                <w:b/>
                <w:bCs/>
                <w:color w:val="000000"/>
                <w:lang w:eastAsia="en-GB"/>
              </w:rPr>
              <w:t xml:space="preserve">        </w:t>
            </w:r>
            <w:r w:rsidRPr="00D1027A">
              <w:rPr>
                <w:rFonts w:asciiTheme="minorHAnsi" w:hAnsiTheme="minorHAnsi" w:cs="Arial"/>
                <w:b/>
                <w:bCs/>
                <w:color w:val="000000"/>
                <w:lang w:eastAsia="en-GB"/>
              </w:rPr>
              <w:t>407</w:t>
            </w:r>
          </w:p>
        </w:tc>
      </w:tr>
      <w:tr w:rsidR="00D1027A" w:rsidTr="00D1027A">
        <w:tc>
          <w:tcPr>
            <w:tcW w:w="3085" w:type="dxa"/>
            <w:tcBorders>
              <w:top w:val="nil"/>
              <w:left w:val="nil"/>
              <w:bottom w:val="nil"/>
              <w:right w:val="nil"/>
            </w:tcBorders>
          </w:tcPr>
          <w:p w:rsidR="00D1027A" w:rsidRPr="00D1027A" w:rsidRDefault="00D1027A" w:rsidP="004C12B8">
            <w:pPr>
              <w:jc w:val="left"/>
              <w:rPr>
                <w:rFonts w:asciiTheme="minorHAnsi" w:hAnsiTheme="minorHAnsi" w:cs="Arial"/>
                <w:bCs/>
                <w:color w:val="000000"/>
                <w:lang w:eastAsia="en-GB"/>
              </w:rPr>
            </w:pPr>
            <w:r w:rsidRPr="00D1027A">
              <w:rPr>
                <w:rFonts w:asciiTheme="minorHAnsi" w:hAnsiTheme="minorHAnsi" w:cs="Arial"/>
                <w:bCs/>
                <w:color w:val="000000"/>
                <w:lang w:eastAsia="en-GB"/>
              </w:rPr>
              <w:t>Taxation</w:t>
            </w:r>
          </w:p>
        </w:tc>
        <w:tc>
          <w:tcPr>
            <w:tcW w:w="618" w:type="dxa"/>
            <w:tcBorders>
              <w:top w:val="nil"/>
              <w:left w:val="nil"/>
              <w:bottom w:val="nil"/>
              <w:right w:val="nil"/>
            </w:tcBorders>
          </w:tcPr>
          <w:p w:rsidR="00D1027A" w:rsidRDefault="00D1027A" w:rsidP="004C12B8">
            <w:pPr>
              <w:jc w:val="left"/>
              <w:rPr>
                <w:rFonts w:asciiTheme="minorHAnsi" w:hAnsiTheme="minorHAnsi" w:cs="Arial"/>
                <w:b/>
                <w:bCs/>
                <w:color w:val="000000"/>
                <w:sz w:val="20"/>
                <w:szCs w:val="20"/>
                <w:lang w:eastAsia="en-GB"/>
              </w:rPr>
            </w:pPr>
          </w:p>
        </w:tc>
        <w:tc>
          <w:tcPr>
            <w:tcW w:w="1043" w:type="dxa"/>
            <w:tcBorders>
              <w:top w:val="nil"/>
              <w:left w:val="nil"/>
              <w:bottom w:val="single" w:sz="4" w:space="0" w:color="auto"/>
              <w:right w:val="nil"/>
            </w:tcBorders>
          </w:tcPr>
          <w:p w:rsidR="00D1027A" w:rsidRPr="00D1027A" w:rsidRDefault="00D1027A" w:rsidP="00423C65">
            <w:pPr>
              <w:jc w:val="right"/>
              <w:rPr>
                <w:rFonts w:asciiTheme="minorHAnsi" w:hAnsiTheme="minorHAnsi" w:cs="Arial"/>
                <w:bCs/>
                <w:color w:val="000000"/>
                <w:lang w:eastAsia="en-GB"/>
              </w:rPr>
            </w:pPr>
            <w:r w:rsidRPr="00D1027A">
              <w:rPr>
                <w:rFonts w:asciiTheme="minorHAnsi" w:hAnsiTheme="minorHAnsi" w:cs="Arial"/>
                <w:bCs/>
                <w:color w:val="000000"/>
                <w:lang w:eastAsia="en-GB"/>
              </w:rPr>
              <w:t>(457)</w:t>
            </w:r>
          </w:p>
        </w:tc>
        <w:tc>
          <w:tcPr>
            <w:tcW w:w="1043" w:type="dxa"/>
            <w:tcBorders>
              <w:top w:val="nil"/>
              <w:left w:val="nil"/>
              <w:bottom w:val="single" w:sz="4" w:space="0" w:color="auto"/>
              <w:right w:val="nil"/>
            </w:tcBorders>
          </w:tcPr>
          <w:p w:rsidR="00D1027A" w:rsidRPr="00D1027A" w:rsidRDefault="00D1027A" w:rsidP="00423C65">
            <w:pPr>
              <w:jc w:val="right"/>
              <w:rPr>
                <w:rFonts w:asciiTheme="minorHAnsi" w:hAnsiTheme="minorHAnsi" w:cs="Arial"/>
                <w:bCs/>
                <w:color w:val="000000"/>
                <w:lang w:eastAsia="en-GB"/>
              </w:rPr>
            </w:pPr>
            <w:r w:rsidRPr="00D1027A">
              <w:rPr>
                <w:rFonts w:asciiTheme="minorHAnsi" w:hAnsiTheme="minorHAnsi" w:cs="Arial"/>
                <w:bCs/>
                <w:color w:val="000000"/>
                <w:lang w:eastAsia="en-GB"/>
              </w:rPr>
              <w:t>56</w:t>
            </w:r>
          </w:p>
        </w:tc>
        <w:tc>
          <w:tcPr>
            <w:tcW w:w="1043" w:type="dxa"/>
            <w:tcBorders>
              <w:top w:val="nil"/>
              <w:left w:val="nil"/>
              <w:bottom w:val="single" w:sz="4" w:space="0" w:color="auto"/>
              <w:right w:val="nil"/>
            </w:tcBorders>
          </w:tcPr>
          <w:p w:rsidR="00D1027A" w:rsidRPr="00D1027A" w:rsidRDefault="00D1027A" w:rsidP="00423C65">
            <w:pPr>
              <w:jc w:val="right"/>
              <w:rPr>
                <w:rFonts w:asciiTheme="minorHAnsi" w:hAnsiTheme="minorHAnsi" w:cs="Arial"/>
                <w:b/>
                <w:bCs/>
                <w:color w:val="000000"/>
                <w:lang w:eastAsia="en-GB"/>
              </w:rPr>
            </w:pPr>
            <w:r w:rsidRPr="00D1027A">
              <w:rPr>
                <w:rFonts w:asciiTheme="minorHAnsi" w:hAnsiTheme="minorHAnsi" w:cs="Arial"/>
                <w:b/>
                <w:bCs/>
                <w:color w:val="000000"/>
                <w:lang w:eastAsia="en-GB"/>
              </w:rPr>
              <w:t>(401)</w:t>
            </w:r>
          </w:p>
        </w:tc>
        <w:tc>
          <w:tcPr>
            <w:tcW w:w="1043" w:type="dxa"/>
            <w:tcBorders>
              <w:top w:val="nil"/>
              <w:left w:val="nil"/>
              <w:bottom w:val="single" w:sz="4" w:space="0" w:color="auto"/>
              <w:right w:val="nil"/>
            </w:tcBorders>
          </w:tcPr>
          <w:p w:rsidR="00D1027A" w:rsidRPr="00D1027A" w:rsidRDefault="00D1027A" w:rsidP="00D1027A">
            <w:pPr>
              <w:jc w:val="right"/>
              <w:rPr>
                <w:rFonts w:asciiTheme="minorHAnsi" w:hAnsiTheme="minorHAnsi" w:cs="Arial"/>
                <w:bCs/>
                <w:color w:val="000000"/>
                <w:lang w:eastAsia="en-GB"/>
              </w:rPr>
            </w:pPr>
            <w:r w:rsidRPr="00D1027A">
              <w:rPr>
                <w:rFonts w:asciiTheme="minorHAnsi" w:hAnsiTheme="minorHAnsi" w:cs="Arial"/>
                <w:bCs/>
                <w:color w:val="000000"/>
                <w:lang w:eastAsia="en-GB"/>
              </w:rPr>
              <w:t>(86)</w:t>
            </w:r>
          </w:p>
        </w:tc>
        <w:tc>
          <w:tcPr>
            <w:tcW w:w="1043" w:type="dxa"/>
            <w:tcBorders>
              <w:top w:val="nil"/>
              <w:left w:val="nil"/>
              <w:bottom w:val="single" w:sz="4" w:space="0" w:color="auto"/>
              <w:right w:val="nil"/>
            </w:tcBorders>
          </w:tcPr>
          <w:p w:rsidR="00D1027A" w:rsidRPr="00D1027A" w:rsidRDefault="00D1027A" w:rsidP="00D1027A">
            <w:pPr>
              <w:jc w:val="right"/>
              <w:rPr>
                <w:rFonts w:asciiTheme="minorHAnsi" w:hAnsiTheme="minorHAnsi" w:cs="Arial"/>
                <w:bCs/>
                <w:color w:val="000000"/>
                <w:lang w:eastAsia="en-GB"/>
              </w:rPr>
            </w:pPr>
            <w:r w:rsidRPr="00D1027A">
              <w:rPr>
                <w:rFonts w:asciiTheme="minorHAnsi" w:hAnsiTheme="minorHAnsi" w:cs="Arial"/>
                <w:bCs/>
                <w:color w:val="000000"/>
                <w:lang w:eastAsia="en-GB"/>
              </w:rPr>
              <w:t>(216)</w:t>
            </w:r>
          </w:p>
        </w:tc>
        <w:tc>
          <w:tcPr>
            <w:tcW w:w="1044" w:type="dxa"/>
            <w:tcBorders>
              <w:top w:val="nil"/>
              <w:left w:val="nil"/>
              <w:bottom w:val="single" w:sz="4" w:space="0" w:color="auto"/>
              <w:right w:val="nil"/>
            </w:tcBorders>
          </w:tcPr>
          <w:p w:rsidR="00D1027A" w:rsidRPr="00D1027A" w:rsidRDefault="00D1027A" w:rsidP="00D1027A">
            <w:pPr>
              <w:jc w:val="right"/>
              <w:rPr>
                <w:rFonts w:asciiTheme="minorHAnsi" w:hAnsiTheme="minorHAnsi" w:cs="Arial"/>
                <w:b/>
                <w:bCs/>
                <w:color w:val="000000"/>
                <w:lang w:eastAsia="en-GB"/>
              </w:rPr>
            </w:pPr>
            <w:r w:rsidRPr="00D1027A">
              <w:rPr>
                <w:rFonts w:asciiTheme="minorHAnsi" w:hAnsiTheme="minorHAnsi" w:cs="Arial"/>
                <w:b/>
                <w:bCs/>
                <w:color w:val="000000"/>
                <w:lang w:eastAsia="en-GB"/>
              </w:rPr>
              <w:t>(302)</w:t>
            </w:r>
          </w:p>
        </w:tc>
      </w:tr>
      <w:tr w:rsidR="00D1027A" w:rsidTr="00D1027A">
        <w:tc>
          <w:tcPr>
            <w:tcW w:w="3085" w:type="dxa"/>
            <w:tcBorders>
              <w:top w:val="nil"/>
              <w:left w:val="nil"/>
              <w:bottom w:val="nil"/>
              <w:right w:val="nil"/>
            </w:tcBorders>
          </w:tcPr>
          <w:p w:rsidR="00D1027A" w:rsidRPr="00D1027A" w:rsidRDefault="00D1027A" w:rsidP="00423C65">
            <w:pPr>
              <w:jc w:val="left"/>
              <w:rPr>
                <w:rFonts w:asciiTheme="minorHAnsi" w:hAnsiTheme="minorHAnsi" w:cs="Arial"/>
                <w:b/>
                <w:bCs/>
                <w:color w:val="000000"/>
                <w:lang w:eastAsia="en-GB"/>
              </w:rPr>
            </w:pPr>
            <w:r w:rsidRPr="00D1027A">
              <w:rPr>
                <w:rFonts w:asciiTheme="minorHAnsi" w:hAnsiTheme="minorHAnsi" w:cs="Arial"/>
                <w:b/>
                <w:bCs/>
                <w:color w:val="000000"/>
                <w:lang w:eastAsia="en-GB"/>
              </w:rPr>
              <w:t>Profit/(loss) for the financial year from continuing operations</w:t>
            </w:r>
          </w:p>
        </w:tc>
        <w:tc>
          <w:tcPr>
            <w:tcW w:w="618" w:type="dxa"/>
            <w:tcBorders>
              <w:top w:val="nil"/>
              <w:left w:val="nil"/>
              <w:bottom w:val="nil"/>
              <w:right w:val="nil"/>
            </w:tcBorders>
          </w:tcPr>
          <w:p w:rsidR="00D1027A" w:rsidRDefault="00D1027A" w:rsidP="004C12B8">
            <w:pPr>
              <w:jc w:val="left"/>
              <w:rPr>
                <w:rFonts w:asciiTheme="minorHAnsi" w:hAnsiTheme="minorHAnsi" w:cs="Arial"/>
                <w:b/>
                <w:bCs/>
                <w:color w:val="000000"/>
                <w:sz w:val="20"/>
                <w:szCs w:val="20"/>
                <w:lang w:eastAsia="en-GB"/>
              </w:rPr>
            </w:pPr>
          </w:p>
        </w:tc>
        <w:tc>
          <w:tcPr>
            <w:tcW w:w="1043" w:type="dxa"/>
            <w:tcBorders>
              <w:top w:val="single" w:sz="4" w:space="0" w:color="auto"/>
              <w:left w:val="nil"/>
              <w:bottom w:val="nil"/>
              <w:right w:val="nil"/>
            </w:tcBorders>
          </w:tcPr>
          <w:p w:rsidR="00D1027A" w:rsidRPr="00D1027A" w:rsidRDefault="00D1027A" w:rsidP="00423C65">
            <w:pPr>
              <w:jc w:val="right"/>
              <w:rPr>
                <w:rFonts w:asciiTheme="minorHAnsi" w:hAnsiTheme="minorHAnsi" w:cs="Arial"/>
                <w:bCs/>
                <w:color w:val="000000"/>
                <w:lang w:eastAsia="en-GB"/>
              </w:rPr>
            </w:pPr>
          </w:p>
          <w:p w:rsidR="00D1027A" w:rsidRDefault="00D1027A" w:rsidP="00423C65">
            <w:pPr>
              <w:jc w:val="right"/>
              <w:rPr>
                <w:rFonts w:asciiTheme="minorHAnsi" w:hAnsiTheme="minorHAnsi" w:cs="Arial"/>
                <w:bCs/>
                <w:color w:val="000000"/>
                <w:lang w:eastAsia="en-GB"/>
              </w:rPr>
            </w:pPr>
          </w:p>
          <w:p w:rsidR="00D1027A" w:rsidRPr="00D1027A" w:rsidRDefault="00D1027A" w:rsidP="00423C65">
            <w:pPr>
              <w:jc w:val="right"/>
              <w:rPr>
                <w:rFonts w:asciiTheme="minorHAnsi" w:hAnsiTheme="minorHAnsi" w:cs="Arial"/>
                <w:bCs/>
                <w:color w:val="000000"/>
                <w:lang w:eastAsia="en-GB"/>
              </w:rPr>
            </w:pPr>
            <w:r w:rsidRPr="00D1027A">
              <w:rPr>
                <w:rFonts w:asciiTheme="minorHAnsi" w:hAnsiTheme="minorHAnsi" w:cs="Arial"/>
                <w:bCs/>
                <w:color w:val="000000"/>
                <w:lang w:eastAsia="en-GB"/>
              </w:rPr>
              <w:t>2,404</w:t>
            </w:r>
          </w:p>
        </w:tc>
        <w:tc>
          <w:tcPr>
            <w:tcW w:w="1043" w:type="dxa"/>
            <w:tcBorders>
              <w:top w:val="single" w:sz="4" w:space="0" w:color="auto"/>
              <w:left w:val="nil"/>
              <w:bottom w:val="nil"/>
              <w:right w:val="nil"/>
            </w:tcBorders>
          </w:tcPr>
          <w:p w:rsidR="00D1027A" w:rsidRPr="00D1027A" w:rsidRDefault="00D1027A" w:rsidP="00423C65">
            <w:pPr>
              <w:jc w:val="right"/>
              <w:rPr>
                <w:rFonts w:asciiTheme="minorHAnsi" w:hAnsiTheme="minorHAnsi" w:cs="Arial"/>
                <w:bCs/>
                <w:color w:val="000000"/>
                <w:lang w:eastAsia="en-GB"/>
              </w:rPr>
            </w:pPr>
          </w:p>
          <w:p w:rsidR="00D1027A" w:rsidRDefault="00D1027A" w:rsidP="00423C65">
            <w:pPr>
              <w:jc w:val="right"/>
              <w:rPr>
                <w:rFonts w:asciiTheme="minorHAnsi" w:hAnsiTheme="minorHAnsi" w:cs="Arial"/>
                <w:bCs/>
                <w:color w:val="000000"/>
                <w:lang w:eastAsia="en-GB"/>
              </w:rPr>
            </w:pPr>
          </w:p>
          <w:p w:rsidR="00D1027A" w:rsidRPr="00D1027A" w:rsidRDefault="00D1027A" w:rsidP="00423C65">
            <w:pPr>
              <w:jc w:val="right"/>
              <w:rPr>
                <w:rFonts w:asciiTheme="minorHAnsi" w:hAnsiTheme="minorHAnsi" w:cs="Arial"/>
                <w:bCs/>
                <w:color w:val="000000"/>
                <w:lang w:eastAsia="en-GB"/>
              </w:rPr>
            </w:pPr>
            <w:r w:rsidRPr="00D1027A">
              <w:rPr>
                <w:rFonts w:asciiTheme="minorHAnsi" w:hAnsiTheme="minorHAnsi" w:cs="Arial"/>
                <w:bCs/>
                <w:color w:val="000000"/>
                <w:lang w:eastAsia="en-GB"/>
              </w:rPr>
              <w:t>(203)</w:t>
            </w:r>
          </w:p>
        </w:tc>
        <w:tc>
          <w:tcPr>
            <w:tcW w:w="1043" w:type="dxa"/>
            <w:tcBorders>
              <w:top w:val="single" w:sz="4" w:space="0" w:color="auto"/>
              <w:left w:val="nil"/>
              <w:bottom w:val="nil"/>
              <w:right w:val="nil"/>
            </w:tcBorders>
          </w:tcPr>
          <w:p w:rsidR="00D1027A" w:rsidRPr="00D1027A" w:rsidRDefault="00D1027A" w:rsidP="00423C65">
            <w:pPr>
              <w:jc w:val="right"/>
              <w:rPr>
                <w:rFonts w:asciiTheme="minorHAnsi" w:hAnsiTheme="minorHAnsi" w:cs="Arial"/>
                <w:b/>
                <w:bCs/>
                <w:color w:val="000000"/>
                <w:lang w:eastAsia="en-GB"/>
              </w:rPr>
            </w:pPr>
          </w:p>
          <w:p w:rsidR="00D1027A" w:rsidRDefault="00D1027A" w:rsidP="00423C65">
            <w:pPr>
              <w:jc w:val="right"/>
              <w:rPr>
                <w:rFonts w:asciiTheme="minorHAnsi" w:hAnsiTheme="minorHAnsi" w:cs="Arial"/>
                <w:b/>
                <w:bCs/>
                <w:color w:val="000000"/>
                <w:lang w:eastAsia="en-GB"/>
              </w:rPr>
            </w:pPr>
          </w:p>
          <w:p w:rsidR="00D1027A" w:rsidRPr="00D1027A" w:rsidRDefault="00D1027A" w:rsidP="00F7341E">
            <w:pPr>
              <w:jc w:val="right"/>
              <w:rPr>
                <w:rFonts w:asciiTheme="minorHAnsi" w:hAnsiTheme="minorHAnsi" w:cs="Arial"/>
                <w:b/>
                <w:bCs/>
                <w:color w:val="000000"/>
                <w:lang w:eastAsia="en-GB"/>
              </w:rPr>
            </w:pPr>
            <w:r w:rsidRPr="00D1027A">
              <w:rPr>
                <w:rFonts w:asciiTheme="minorHAnsi" w:hAnsiTheme="minorHAnsi" w:cs="Arial"/>
                <w:b/>
                <w:bCs/>
                <w:color w:val="000000"/>
                <w:lang w:eastAsia="en-GB"/>
              </w:rPr>
              <w:t>2,</w:t>
            </w:r>
            <w:r w:rsidR="00F7341E">
              <w:rPr>
                <w:rFonts w:asciiTheme="minorHAnsi" w:hAnsiTheme="minorHAnsi" w:cs="Arial"/>
                <w:b/>
                <w:bCs/>
                <w:color w:val="000000"/>
                <w:lang w:eastAsia="en-GB"/>
              </w:rPr>
              <w:t>201</w:t>
            </w:r>
          </w:p>
        </w:tc>
        <w:tc>
          <w:tcPr>
            <w:tcW w:w="1043" w:type="dxa"/>
            <w:tcBorders>
              <w:top w:val="single" w:sz="4" w:space="0" w:color="auto"/>
              <w:left w:val="nil"/>
              <w:bottom w:val="nil"/>
              <w:right w:val="nil"/>
            </w:tcBorders>
          </w:tcPr>
          <w:p w:rsidR="00D1027A" w:rsidRPr="00D1027A" w:rsidRDefault="00D1027A" w:rsidP="00D1027A">
            <w:pPr>
              <w:jc w:val="right"/>
              <w:rPr>
                <w:rFonts w:asciiTheme="minorHAnsi" w:hAnsiTheme="minorHAnsi" w:cs="Arial"/>
                <w:bCs/>
                <w:color w:val="000000"/>
                <w:lang w:eastAsia="en-GB"/>
              </w:rPr>
            </w:pPr>
          </w:p>
          <w:p w:rsidR="00D1027A" w:rsidRDefault="00D1027A" w:rsidP="00D1027A">
            <w:pPr>
              <w:jc w:val="right"/>
              <w:rPr>
                <w:rFonts w:asciiTheme="minorHAnsi" w:hAnsiTheme="minorHAnsi" w:cs="Arial"/>
                <w:bCs/>
                <w:color w:val="000000"/>
                <w:lang w:eastAsia="en-GB"/>
              </w:rPr>
            </w:pPr>
          </w:p>
          <w:p w:rsidR="00D1027A" w:rsidRPr="00D1027A" w:rsidRDefault="00D1027A" w:rsidP="00D1027A">
            <w:pPr>
              <w:jc w:val="right"/>
              <w:rPr>
                <w:rFonts w:asciiTheme="minorHAnsi" w:hAnsiTheme="minorHAnsi" w:cs="Arial"/>
                <w:bCs/>
                <w:color w:val="000000"/>
                <w:lang w:eastAsia="en-GB"/>
              </w:rPr>
            </w:pPr>
            <w:r w:rsidRPr="00D1027A">
              <w:rPr>
                <w:rFonts w:asciiTheme="minorHAnsi" w:hAnsiTheme="minorHAnsi" w:cs="Arial"/>
                <w:bCs/>
                <w:color w:val="000000"/>
                <w:lang w:eastAsia="en-GB"/>
              </w:rPr>
              <w:t>70</w:t>
            </w:r>
          </w:p>
        </w:tc>
        <w:tc>
          <w:tcPr>
            <w:tcW w:w="1043" w:type="dxa"/>
            <w:tcBorders>
              <w:top w:val="single" w:sz="4" w:space="0" w:color="auto"/>
              <w:left w:val="nil"/>
              <w:bottom w:val="nil"/>
              <w:right w:val="nil"/>
            </w:tcBorders>
          </w:tcPr>
          <w:p w:rsidR="00D1027A" w:rsidRPr="00D1027A" w:rsidRDefault="00D1027A" w:rsidP="00D1027A">
            <w:pPr>
              <w:jc w:val="right"/>
              <w:rPr>
                <w:rFonts w:asciiTheme="minorHAnsi" w:hAnsiTheme="minorHAnsi" w:cs="Arial"/>
                <w:bCs/>
                <w:color w:val="000000"/>
                <w:lang w:eastAsia="en-GB"/>
              </w:rPr>
            </w:pPr>
          </w:p>
          <w:p w:rsidR="00D1027A" w:rsidRDefault="00D1027A" w:rsidP="00D1027A">
            <w:pPr>
              <w:jc w:val="right"/>
              <w:rPr>
                <w:rFonts w:asciiTheme="minorHAnsi" w:hAnsiTheme="minorHAnsi" w:cs="Arial"/>
                <w:bCs/>
                <w:color w:val="000000"/>
                <w:lang w:eastAsia="en-GB"/>
              </w:rPr>
            </w:pPr>
          </w:p>
          <w:p w:rsidR="00D1027A" w:rsidRPr="00D1027A" w:rsidRDefault="00D1027A" w:rsidP="00D1027A">
            <w:pPr>
              <w:jc w:val="right"/>
              <w:rPr>
                <w:rFonts w:asciiTheme="minorHAnsi" w:hAnsiTheme="minorHAnsi" w:cs="Arial"/>
                <w:bCs/>
                <w:color w:val="000000"/>
                <w:lang w:eastAsia="en-GB"/>
              </w:rPr>
            </w:pPr>
            <w:r w:rsidRPr="00D1027A">
              <w:rPr>
                <w:rFonts w:asciiTheme="minorHAnsi" w:hAnsiTheme="minorHAnsi" w:cs="Arial"/>
                <w:bCs/>
                <w:color w:val="000000"/>
                <w:lang w:eastAsia="en-GB"/>
              </w:rPr>
              <w:t>35</w:t>
            </w:r>
          </w:p>
        </w:tc>
        <w:tc>
          <w:tcPr>
            <w:tcW w:w="1044" w:type="dxa"/>
            <w:tcBorders>
              <w:top w:val="single" w:sz="4" w:space="0" w:color="auto"/>
              <w:left w:val="nil"/>
              <w:bottom w:val="nil"/>
              <w:right w:val="nil"/>
            </w:tcBorders>
          </w:tcPr>
          <w:p w:rsidR="00D1027A" w:rsidRPr="00D1027A" w:rsidRDefault="00D1027A" w:rsidP="00D1027A">
            <w:pPr>
              <w:jc w:val="right"/>
              <w:rPr>
                <w:rFonts w:asciiTheme="minorHAnsi" w:hAnsiTheme="minorHAnsi" w:cs="Arial"/>
                <w:b/>
                <w:bCs/>
                <w:color w:val="000000"/>
                <w:lang w:eastAsia="en-GB"/>
              </w:rPr>
            </w:pPr>
          </w:p>
          <w:p w:rsidR="00D1027A" w:rsidRDefault="00D1027A" w:rsidP="00D1027A">
            <w:pPr>
              <w:jc w:val="right"/>
              <w:rPr>
                <w:rFonts w:asciiTheme="minorHAnsi" w:hAnsiTheme="minorHAnsi" w:cs="Arial"/>
                <w:b/>
                <w:bCs/>
                <w:color w:val="000000"/>
                <w:lang w:eastAsia="en-GB"/>
              </w:rPr>
            </w:pPr>
          </w:p>
          <w:p w:rsidR="00D1027A" w:rsidRPr="00D1027A" w:rsidRDefault="00D1027A" w:rsidP="00D1027A">
            <w:pPr>
              <w:jc w:val="right"/>
              <w:rPr>
                <w:rFonts w:asciiTheme="minorHAnsi" w:hAnsiTheme="minorHAnsi" w:cs="Arial"/>
                <w:b/>
                <w:bCs/>
                <w:color w:val="000000"/>
                <w:lang w:eastAsia="en-GB"/>
              </w:rPr>
            </w:pPr>
            <w:r w:rsidRPr="00D1027A">
              <w:rPr>
                <w:rFonts w:asciiTheme="minorHAnsi" w:hAnsiTheme="minorHAnsi" w:cs="Arial"/>
                <w:b/>
                <w:bCs/>
                <w:color w:val="000000"/>
                <w:lang w:eastAsia="en-GB"/>
              </w:rPr>
              <w:t>105</w:t>
            </w:r>
          </w:p>
        </w:tc>
      </w:tr>
      <w:tr w:rsidR="00D1027A" w:rsidTr="00D1027A">
        <w:tc>
          <w:tcPr>
            <w:tcW w:w="3085" w:type="dxa"/>
            <w:tcBorders>
              <w:top w:val="nil"/>
              <w:left w:val="nil"/>
              <w:bottom w:val="nil"/>
              <w:right w:val="nil"/>
            </w:tcBorders>
          </w:tcPr>
          <w:p w:rsidR="00D1027A" w:rsidRPr="00D1027A" w:rsidRDefault="00D1027A" w:rsidP="00423C65">
            <w:pPr>
              <w:jc w:val="left"/>
              <w:rPr>
                <w:rFonts w:asciiTheme="minorHAnsi" w:hAnsiTheme="minorHAnsi" w:cs="Arial"/>
                <w:bCs/>
                <w:color w:val="000000"/>
                <w:lang w:eastAsia="en-GB"/>
              </w:rPr>
            </w:pPr>
            <w:r w:rsidRPr="00D1027A">
              <w:rPr>
                <w:rFonts w:asciiTheme="minorHAnsi" w:hAnsiTheme="minorHAnsi" w:cs="Arial"/>
                <w:bCs/>
                <w:color w:val="000000"/>
                <w:lang w:eastAsia="en-GB"/>
              </w:rPr>
              <w:t>Loss for the financial year from discontinued operations</w:t>
            </w:r>
          </w:p>
        </w:tc>
        <w:tc>
          <w:tcPr>
            <w:tcW w:w="618" w:type="dxa"/>
            <w:tcBorders>
              <w:top w:val="nil"/>
              <w:left w:val="nil"/>
              <w:bottom w:val="nil"/>
              <w:right w:val="nil"/>
            </w:tcBorders>
          </w:tcPr>
          <w:p w:rsidR="00D1027A" w:rsidRDefault="00D1027A" w:rsidP="004C12B8">
            <w:pPr>
              <w:jc w:val="left"/>
              <w:rPr>
                <w:rFonts w:asciiTheme="minorHAnsi" w:hAnsiTheme="minorHAnsi" w:cs="Arial"/>
                <w:b/>
                <w:bCs/>
                <w:color w:val="000000"/>
                <w:sz w:val="20"/>
                <w:szCs w:val="20"/>
                <w:lang w:eastAsia="en-GB"/>
              </w:rPr>
            </w:pPr>
          </w:p>
        </w:tc>
        <w:tc>
          <w:tcPr>
            <w:tcW w:w="1043" w:type="dxa"/>
            <w:tcBorders>
              <w:top w:val="nil"/>
              <w:left w:val="nil"/>
              <w:bottom w:val="single" w:sz="4" w:space="0" w:color="auto"/>
              <w:right w:val="nil"/>
            </w:tcBorders>
          </w:tcPr>
          <w:p w:rsidR="00D1027A" w:rsidRPr="00D1027A" w:rsidRDefault="00D1027A" w:rsidP="00423C65">
            <w:pPr>
              <w:jc w:val="right"/>
              <w:rPr>
                <w:rFonts w:asciiTheme="minorHAnsi" w:hAnsiTheme="minorHAnsi" w:cs="Arial"/>
                <w:bCs/>
                <w:color w:val="000000"/>
                <w:lang w:eastAsia="en-GB"/>
              </w:rPr>
            </w:pPr>
          </w:p>
          <w:p w:rsidR="00D1027A" w:rsidRPr="00D1027A" w:rsidRDefault="00D1027A" w:rsidP="00423C65">
            <w:pPr>
              <w:jc w:val="right"/>
              <w:rPr>
                <w:rFonts w:asciiTheme="minorHAnsi" w:hAnsiTheme="minorHAnsi" w:cs="Arial"/>
                <w:bCs/>
                <w:color w:val="000000"/>
                <w:lang w:eastAsia="en-GB"/>
              </w:rPr>
            </w:pPr>
            <w:r w:rsidRPr="00D1027A">
              <w:rPr>
                <w:rFonts w:asciiTheme="minorHAnsi" w:hAnsiTheme="minorHAnsi" w:cs="Arial"/>
                <w:bCs/>
                <w:color w:val="000000"/>
                <w:lang w:eastAsia="en-GB"/>
              </w:rPr>
              <w:t>-</w:t>
            </w:r>
          </w:p>
        </w:tc>
        <w:tc>
          <w:tcPr>
            <w:tcW w:w="1043" w:type="dxa"/>
            <w:tcBorders>
              <w:top w:val="nil"/>
              <w:left w:val="nil"/>
              <w:bottom w:val="single" w:sz="4" w:space="0" w:color="auto"/>
              <w:right w:val="nil"/>
            </w:tcBorders>
          </w:tcPr>
          <w:p w:rsidR="00D1027A" w:rsidRPr="00D1027A" w:rsidRDefault="00D1027A" w:rsidP="00423C65">
            <w:pPr>
              <w:jc w:val="right"/>
              <w:rPr>
                <w:rFonts w:asciiTheme="minorHAnsi" w:hAnsiTheme="minorHAnsi" w:cs="Arial"/>
                <w:bCs/>
                <w:color w:val="000000"/>
                <w:lang w:eastAsia="en-GB"/>
              </w:rPr>
            </w:pPr>
          </w:p>
          <w:p w:rsidR="00D1027A" w:rsidRPr="00D1027A" w:rsidRDefault="00D1027A" w:rsidP="00423C65">
            <w:pPr>
              <w:jc w:val="right"/>
              <w:rPr>
                <w:rFonts w:asciiTheme="minorHAnsi" w:hAnsiTheme="minorHAnsi" w:cs="Arial"/>
                <w:bCs/>
                <w:color w:val="000000"/>
                <w:lang w:eastAsia="en-GB"/>
              </w:rPr>
            </w:pPr>
            <w:r w:rsidRPr="00D1027A">
              <w:rPr>
                <w:rFonts w:asciiTheme="minorHAnsi" w:hAnsiTheme="minorHAnsi" w:cs="Arial"/>
                <w:bCs/>
                <w:color w:val="000000"/>
                <w:lang w:eastAsia="en-GB"/>
              </w:rPr>
              <w:t>-</w:t>
            </w:r>
          </w:p>
        </w:tc>
        <w:tc>
          <w:tcPr>
            <w:tcW w:w="1043" w:type="dxa"/>
            <w:tcBorders>
              <w:top w:val="nil"/>
              <w:left w:val="nil"/>
              <w:bottom w:val="single" w:sz="4" w:space="0" w:color="auto"/>
              <w:right w:val="nil"/>
            </w:tcBorders>
          </w:tcPr>
          <w:p w:rsidR="00D1027A" w:rsidRPr="00D1027A" w:rsidRDefault="00D1027A" w:rsidP="00423C65">
            <w:pPr>
              <w:jc w:val="right"/>
              <w:rPr>
                <w:rFonts w:asciiTheme="minorHAnsi" w:hAnsiTheme="minorHAnsi" w:cs="Arial"/>
                <w:b/>
                <w:bCs/>
                <w:color w:val="000000"/>
                <w:lang w:eastAsia="en-GB"/>
              </w:rPr>
            </w:pPr>
          </w:p>
          <w:p w:rsidR="00D1027A" w:rsidRPr="00D1027A" w:rsidRDefault="00D1027A" w:rsidP="00423C65">
            <w:pPr>
              <w:jc w:val="right"/>
              <w:rPr>
                <w:rFonts w:asciiTheme="minorHAnsi" w:hAnsiTheme="minorHAnsi" w:cs="Arial"/>
                <w:b/>
                <w:bCs/>
                <w:color w:val="000000"/>
                <w:lang w:eastAsia="en-GB"/>
              </w:rPr>
            </w:pPr>
            <w:r w:rsidRPr="00D1027A">
              <w:rPr>
                <w:rFonts w:asciiTheme="minorHAnsi" w:hAnsiTheme="minorHAnsi" w:cs="Arial"/>
                <w:b/>
                <w:bCs/>
                <w:color w:val="000000"/>
                <w:lang w:eastAsia="en-GB"/>
              </w:rPr>
              <w:t>-</w:t>
            </w:r>
          </w:p>
        </w:tc>
        <w:tc>
          <w:tcPr>
            <w:tcW w:w="1043" w:type="dxa"/>
            <w:tcBorders>
              <w:top w:val="nil"/>
              <w:left w:val="nil"/>
              <w:bottom w:val="single" w:sz="4" w:space="0" w:color="auto"/>
              <w:right w:val="nil"/>
            </w:tcBorders>
          </w:tcPr>
          <w:p w:rsidR="00D1027A" w:rsidRPr="00D1027A" w:rsidRDefault="00D1027A" w:rsidP="00D1027A">
            <w:pPr>
              <w:jc w:val="right"/>
              <w:rPr>
                <w:rFonts w:asciiTheme="minorHAnsi" w:hAnsiTheme="minorHAnsi" w:cs="Arial"/>
                <w:bCs/>
                <w:color w:val="000000"/>
                <w:lang w:eastAsia="en-GB"/>
              </w:rPr>
            </w:pPr>
          </w:p>
          <w:p w:rsidR="00D1027A" w:rsidRPr="00D1027A" w:rsidRDefault="00D1027A" w:rsidP="00D1027A">
            <w:pPr>
              <w:jc w:val="right"/>
              <w:rPr>
                <w:rFonts w:asciiTheme="minorHAnsi" w:hAnsiTheme="minorHAnsi" w:cs="Arial"/>
                <w:bCs/>
                <w:color w:val="000000"/>
                <w:lang w:eastAsia="en-GB"/>
              </w:rPr>
            </w:pPr>
            <w:r w:rsidRPr="00D1027A">
              <w:rPr>
                <w:rFonts w:asciiTheme="minorHAnsi" w:hAnsiTheme="minorHAnsi" w:cs="Arial"/>
                <w:bCs/>
                <w:color w:val="000000"/>
                <w:lang w:eastAsia="en-GB"/>
              </w:rPr>
              <w:t>(117)</w:t>
            </w:r>
          </w:p>
        </w:tc>
        <w:tc>
          <w:tcPr>
            <w:tcW w:w="1043" w:type="dxa"/>
            <w:tcBorders>
              <w:top w:val="nil"/>
              <w:left w:val="nil"/>
              <w:bottom w:val="single" w:sz="4" w:space="0" w:color="auto"/>
              <w:right w:val="nil"/>
            </w:tcBorders>
          </w:tcPr>
          <w:p w:rsidR="00D1027A" w:rsidRPr="00D1027A" w:rsidRDefault="00D1027A" w:rsidP="00D1027A">
            <w:pPr>
              <w:jc w:val="right"/>
              <w:rPr>
                <w:rFonts w:asciiTheme="minorHAnsi" w:hAnsiTheme="minorHAnsi" w:cs="Arial"/>
                <w:bCs/>
                <w:color w:val="000000"/>
                <w:lang w:eastAsia="en-GB"/>
              </w:rPr>
            </w:pPr>
          </w:p>
          <w:p w:rsidR="00D1027A" w:rsidRPr="00D1027A" w:rsidRDefault="00D1027A" w:rsidP="00D1027A">
            <w:pPr>
              <w:jc w:val="right"/>
              <w:rPr>
                <w:rFonts w:asciiTheme="minorHAnsi" w:hAnsiTheme="minorHAnsi" w:cs="Arial"/>
                <w:bCs/>
                <w:color w:val="000000"/>
                <w:lang w:eastAsia="en-GB"/>
              </w:rPr>
            </w:pPr>
            <w:r w:rsidRPr="00D1027A">
              <w:rPr>
                <w:rFonts w:asciiTheme="minorHAnsi" w:hAnsiTheme="minorHAnsi" w:cs="Arial"/>
                <w:bCs/>
                <w:color w:val="000000"/>
                <w:lang w:eastAsia="en-GB"/>
              </w:rPr>
              <w:t>(1,536)</w:t>
            </w:r>
          </w:p>
        </w:tc>
        <w:tc>
          <w:tcPr>
            <w:tcW w:w="1044" w:type="dxa"/>
            <w:tcBorders>
              <w:top w:val="nil"/>
              <w:left w:val="nil"/>
              <w:bottom w:val="single" w:sz="4" w:space="0" w:color="auto"/>
              <w:right w:val="nil"/>
            </w:tcBorders>
          </w:tcPr>
          <w:p w:rsidR="00D1027A" w:rsidRPr="00D1027A" w:rsidRDefault="00D1027A" w:rsidP="00D1027A">
            <w:pPr>
              <w:jc w:val="right"/>
              <w:rPr>
                <w:rFonts w:asciiTheme="minorHAnsi" w:hAnsiTheme="minorHAnsi" w:cs="Arial"/>
                <w:b/>
                <w:bCs/>
                <w:color w:val="000000"/>
                <w:lang w:eastAsia="en-GB"/>
              </w:rPr>
            </w:pPr>
          </w:p>
          <w:p w:rsidR="00D1027A" w:rsidRPr="00D1027A" w:rsidRDefault="00D1027A" w:rsidP="00D1027A">
            <w:pPr>
              <w:jc w:val="right"/>
              <w:rPr>
                <w:rFonts w:asciiTheme="minorHAnsi" w:hAnsiTheme="minorHAnsi" w:cs="Arial"/>
                <w:b/>
                <w:bCs/>
                <w:color w:val="000000"/>
                <w:lang w:eastAsia="en-GB"/>
              </w:rPr>
            </w:pPr>
            <w:r w:rsidRPr="00D1027A">
              <w:rPr>
                <w:rFonts w:asciiTheme="minorHAnsi" w:hAnsiTheme="minorHAnsi" w:cs="Arial"/>
                <w:b/>
                <w:bCs/>
                <w:color w:val="000000"/>
                <w:lang w:eastAsia="en-GB"/>
              </w:rPr>
              <w:t>(1,653)</w:t>
            </w:r>
          </w:p>
        </w:tc>
      </w:tr>
      <w:tr w:rsidR="00D1027A" w:rsidTr="005563FD">
        <w:tc>
          <w:tcPr>
            <w:tcW w:w="3085" w:type="dxa"/>
            <w:tcBorders>
              <w:top w:val="nil"/>
              <w:left w:val="nil"/>
              <w:bottom w:val="nil"/>
              <w:right w:val="nil"/>
            </w:tcBorders>
          </w:tcPr>
          <w:p w:rsidR="00D1027A" w:rsidRPr="00D1027A" w:rsidRDefault="00D1027A" w:rsidP="00423C65">
            <w:pPr>
              <w:jc w:val="left"/>
              <w:rPr>
                <w:rFonts w:asciiTheme="minorHAnsi" w:hAnsiTheme="minorHAnsi" w:cs="Arial"/>
                <w:b/>
                <w:bCs/>
                <w:color w:val="000000"/>
                <w:lang w:eastAsia="en-GB"/>
              </w:rPr>
            </w:pPr>
            <w:r w:rsidRPr="00D1027A">
              <w:rPr>
                <w:rFonts w:asciiTheme="minorHAnsi" w:hAnsiTheme="minorHAnsi" w:cs="Arial"/>
                <w:b/>
                <w:bCs/>
                <w:color w:val="000000"/>
                <w:lang w:eastAsia="en-GB"/>
              </w:rPr>
              <w:t xml:space="preserve">Profit/(loss) for the financial year </w:t>
            </w:r>
          </w:p>
        </w:tc>
        <w:tc>
          <w:tcPr>
            <w:tcW w:w="618" w:type="dxa"/>
            <w:tcBorders>
              <w:top w:val="nil"/>
              <w:left w:val="nil"/>
              <w:bottom w:val="nil"/>
              <w:right w:val="nil"/>
            </w:tcBorders>
          </w:tcPr>
          <w:p w:rsidR="00D1027A" w:rsidRDefault="00D1027A" w:rsidP="004C12B8">
            <w:pPr>
              <w:jc w:val="left"/>
              <w:rPr>
                <w:rFonts w:asciiTheme="minorHAnsi" w:hAnsiTheme="minorHAnsi" w:cs="Arial"/>
                <w:b/>
                <w:bCs/>
                <w:color w:val="000000"/>
                <w:sz w:val="20"/>
                <w:szCs w:val="20"/>
                <w:lang w:eastAsia="en-GB"/>
              </w:rPr>
            </w:pPr>
          </w:p>
        </w:tc>
        <w:tc>
          <w:tcPr>
            <w:tcW w:w="1043" w:type="dxa"/>
            <w:tcBorders>
              <w:top w:val="single" w:sz="4" w:space="0" w:color="auto"/>
              <w:left w:val="nil"/>
              <w:bottom w:val="nil"/>
              <w:right w:val="nil"/>
            </w:tcBorders>
          </w:tcPr>
          <w:p w:rsidR="00D1027A" w:rsidRDefault="00D1027A" w:rsidP="00423C65">
            <w:pPr>
              <w:jc w:val="right"/>
              <w:rPr>
                <w:rFonts w:asciiTheme="minorHAnsi" w:hAnsiTheme="minorHAnsi" w:cs="Arial"/>
                <w:bCs/>
                <w:color w:val="000000"/>
                <w:lang w:eastAsia="en-GB"/>
              </w:rPr>
            </w:pPr>
          </w:p>
          <w:p w:rsidR="00D1027A" w:rsidRPr="00D1027A" w:rsidRDefault="00D1027A" w:rsidP="00423C65">
            <w:pPr>
              <w:jc w:val="right"/>
              <w:rPr>
                <w:rFonts w:asciiTheme="minorHAnsi" w:hAnsiTheme="minorHAnsi" w:cs="Arial"/>
                <w:bCs/>
                <w:color w:val="000000"/>
                <w:lang w:eastAsia="en-GB"/>
              </w:rPr>
            </w:pPr>
            <w:r w:rsidRPr="00D1027A">
              <w:rPr>
                <w:rFonts w:asciiTheme="minorHAnsi" w:hAnsiTheme="minorHAnsi" w:cs="Arial"/>
                <w:bCs/>
                <w:color w:val="000000"/>
                <w:lang w:eastAsia="en-GB"/>
              </w:rPr>
              <w:t>2,404</w:t>
            </w:r>
          </w:p>
        </w:tc>
        <w:tc>
          <w:tcPr>
            <w:tcW w:w="1043" w:type="dxa"/>
            <w:tcBorders>
              <w:top w:val="single" w:sz="4" w:space="0" w:color="auto"/>
              <w:left w:val="nil"/>
              <w:bottom w:val="nil"/>
              <w:right w:val="nil"/>
            </w:tcBorders>
          </w:tcPr>
          <w:p w:rsidR="00D1027A" w:rsidRDefault="00D1027A" w:rsidP="00423C65">
            <w:pPr>
              <w:jc w:val="right"/>
              <w:rPr>
                <w:rFonts w:asciiTheme="minorHAnsi" w:hAnsiTheme="minorHAnsi" w:cs="Arial"/>
                <w:bCs/>
                <w:color w:val="000000"/>
                <w:lang w:eastAsia="en-GB"/>
              </w:rPr>
            </w:pPr>
          </w:p>
          <w:p w:rsidR="00D1027A" w:rsidRPr="00D1027A" w:rsidRDefault="00D1027A" w:rsidP="00423C65">
            <w:pPr>
              <w:jc w:val="right"/>
              <w:rPr>
                <w:rFonts w:asciiTheme="minorHAnsi" w:hAnsiTheme="minorHAnsi" w:cs="Arial"/>
                <w:bCs/>
                <w:color w:val="000000"/>
                <w:lang w:eastAsia="en-GB"/>
              </w:rPr>
            </w:pPr>
            <w:r w:rsidRPr="00D1027A">
              <w:rPr>
                <w:rFonts w:asciiTheme="minorHAnsi" w:hAnsiTheme="minorHAnsi" w:cs="Arial"/>
                <w:bCs/>
                <w:color w:val="000000"/>
                <w:lang w:eastAsia="en-GB"/>
              </w:rPr>
              <w:t>(203</w:t>
            </w:r>
            <w:r>
              <w:rPr>
                <w:rFonts w:asciiTheme="minorHAnsi" w:hAnsiTheme="minorHAnsi" w:cs="Arial"/>
                <w:bCs/>
                <w:color w:val="000000"/>
                <w:lang w:eastAsia="en-GB"/>
              </w:rPr>
              <w:t>)</w:t>
            </w:r>
          </w:p>
        </w:tc>
        <w:tc>
          <w:tcPr>
            <w:tcW w:w="1043" w:type="dxa"/>
            <w:tcBorders>
              <w:top w:val="single" w:sz="4" w:space="0" w:color="auto"/>
              <w:left w:val="nil"/>
              <w:bottom w:val="nil"/>
              <w:right w:val="nil"/>
            </w:tcBorders>
          </w:tcPr>
          <w:p w:rsidR="00D1027A" w:rsidRDefault="00D1027A" w:rsidP="00423C65">
            <w:pPr>
              <w:jc w:val="right"/>
              <w:rPr>
                <w:rFonts w:asciiTheme="minorHAnsi" w:hAnsiTheme="minorHAnsi" w:cs="Arial"/>
                <w:b/>
                <w:bCs/>
                <w:color w:val="000000"/>
                <w:lang w:eastAsia="en-GB"/>
              </w:rPr>
            </w:pPr>
          </w:p>
          <w:p w:rsidR="00D1027A" w:rsidRPr="00D1027A" w:rsidRDefault="00D1027A" w:rsidP="00423C65">
            <w:pPr>
              <w:jc w:val="right"/>
              <w:rPr>
                <w:rFonts w:asciiTheme="minorHAnsi" w:hAnsiTheme="minorHAnsi" w:cs="Arial"/>
                <w:b/>
                <w:bCs/>
                <w:color w:val="000000"/>
                <w:lang w:eastAsia="en-GB"/>
              </w:rPr>
            </w:pPr>
            <w:r w:rsidRPr="00D1027A">
              <w:rPr>
                <w:rFonts w:asciiTheme="minorHAnsi" w:hAnsiTheme="minorHAnsi" w:cs="Arial"/>
                <w:b/>
                <w:bCs/>
                <w:color w:val="000000"/>
                <w:lang w:eastAsia="en-GB"/>
              </w:rPr>
              <w:t>2,201</w:t>
            </w:r>
          </w:p>
        </w:tc>
        <w:tc>
          <w:tcPr>
            <w:tcW w:w="1043" w:type="dxa"/>
            <w:tcBorders>
              <w:top w:val="single" w:sz="4" w:space="0" w:color="auto"/>
              <w:left w:val="nil"/>
              <w:bottom w:val="nil"/>
              <w:right w:val="nil"/>
            </w:tcBorders>
          </w:tcPr>
          <w:p w:rsidR="00D1027A" w:rsidRDefault="00D1027A" w:rsidP="00D1027A">
            <w:pPr>
              <w:jc w:val="right"/>
              <w:rPr>
                <w:rFonts w:asciiTheme="minorHAnsi" w:hAnsiTheme="minorHAnsi" w:cs="Arial"/>
                <w:bCs/>
                <w:color w:val="000000"/>
                <w:lang w:eastAsia="en-GB"/>
              </w:rPr>
            </w:pPr>
          </w:p>
          <w:p w:rsidR="00D1027A" w:rsidRPr="00D1027A" w:rsidRDefault="00D1027A" w:rsidP="00D1027A">
            <w:pPr>
              <w:jc w:val="right"/>
              <w:rPr>
                <w:rFonts w:asciiTheme="minorHAnsi" w:hAnsiTheme="minorHAnsi" w:cs="Arial"/>
                <w:bCs/>
                <w:color w:val="000000"/>
                <w:lang w:eastAsia="en-GB"/>
              </w:rPr>
            </w:pPr>
            <w:r w:rsidRPr="00D1027A">
              <w:rPr>
                <w:rFonts w:asciiTheme="minorHAnsi" w:hAnsiTheme="minorHAnsi" w:cs="Arial"/>
                <w:bCs/>
                <w:color w:val="000000"/>
                <w:lang w:eastAsia="en-GB"/>
              </w:rPr>
              <w:t>(47)</w:t>
            </w:r>
          </w:p>
        </w:tc>
        <w:tc>
          <w:tcPr>
            <w:tcW w:w="1043" w:type="dxa"/>
            <w:tcBorders>
              <w:top w:val="single" w:sz="4" w:space="0" w:color="auto"/>
              <w:left w:val="nil"/>
              <w:bottom w:val="nil"/>
              <w:right w:val="nil"/>
            </w:tcBorders>
          </w:tcPr>
          <w:p w:rsidR="00D1027A" w:rsidRDefault="00D1027A" w:rsidP="00D1027A">
            <w:pPr>
              <w:jc w:val="right"/>
              <w:rPr>
                <w:rFonts w:asciiTheme="minorHAnsi" w:hAnsiTheme="minorHAnsi" w:cs="Arial"/>
                <w:bCs/>
                <w:color w:val="000000"/>
                <w:lang w:eastAsia="en-GB"/>
              </w:rPr>
            </w:pPr>
          </w:p>
          <w:p w:rsidR="00D1027A" w:rsidRPr="00D1027A" w:rsidRDefault="00D1027A" w:rsidP="00D1027A">
            <w:pPr>
              <w:jc w:val="right"/>
              <w:rPr>
                <w:rFonts w:asciiTheme="minorHAnsi" w:hAnsiTheme="minorHAnsi" w:cs="Arial"/>
                <w:bCs/>
                <w:color w:val="000000"/>
                <w:lang w:eastAsia="en-GB"/>
              </w:rPr>
            </w:pPr>
            <w:r w:rsidRPr="00D1027A">
              <w:rPr>
                <w:rFonts w:asciiTheme="minorHAnsi" w:hAnsiTheme="minorHAnsi" w:cs="Arial"/>
                <w:bCs/>
                <w:color w:val="000000"/>
                <w:lang w:eastAsia="en-GB"/>
              </w:rPr>
              <w:t>(1,501)</w:t>
            </w:r>
          </w:p>
        </w:tc>
        <w:tc>
          <w:tcPr>
            <w:tcW w:w="1044" w:type="dxa"/>
            <w:tcBorders>
              <w:top w:val="single" w:sz="4" w:space="0" w:color="auto"/>
              <w:left w:val="nil"/>
              <w:bottom w:val="nil"/>
              <w:right w:val="nil"/>
            </w:tcBorders>
          </w:tcPr>
          <w:p w:rsidR="00D1027A" w:rsidRDefault="00D1027A" w:rsidP="00D1027A">
            <w:pPr>
              <w:jc w:val="right"/>
              <w:rPr>
                <w:rFonts w:asciiTheme="minorHAnsi" w:hAnsiTheme="minorHAnsi" w:cs="Arial"/>
                <w:b/>
                <w:bCs/>
                <w:color w:val="000000"/>
                <w:lang w:eastAsia="en-GB"/>
              </w:rPr>
            </w:pPr>
          </w:p>
          <w:p w:rsidR="00D1027A" w:rsidRPr="00D1027A" w:rsidRDefault="00D1027A" w:rsidP="00D1027A">
            <w:pPr>
              <w:jc w:val="right"/>
              <w:rPr>
                <w:rFonts w:asciiTheme="minorHAnsi" w:hAnsiTheme="minorHAnsi" w:cs="Arial"/>
                <w:b/>
                <w:bCs/>
                <w:color w:val="000000"/>
                <w:lang w:eastAsia="en-GB"/>
              </w:rPr>
            </w:pPr>
            <w:r w:rsidRPr="00D1027A">
              <w:rPr>
                <w:rFonts w:asciiTheme="minorHAnsi" w:hAnsiTheme="minorHAnsi" w:cs="Arial"/>
                <w:b/>
                <w:bCs/>
                <w:color w:val="000000"/>
                <w:lang w:eastAsia="en-GB"/>
              </w:rPr>
              <w:t>(1,548)</w:t>
            </w:r>
          </w:p>
        </w:tc>
      </w:tr>
      <w:tr w:rsidR="00D1027A" w:rsidTr="00D1027A">
        <w:tc>
          <w:tcPr>
            <w:tcW w:w="3085" w:type="dxa"/>
            <w:tcBorders>
              <w:top w:val="nil"/>
              <w:left w:val="nil"/>
              <w:bottom w:val="nil"/>
              <w:right w:val="nil"/>
            </w:tcBorders>
          </w:tcPr>
          <w:p w:rsidR="00D1027A" w:rsidRPr="00D1027A" w:rsidRDefault="00D1027A" w:rsidP="004C12B8">
            <w:pPr>
              <w:jc w:val="left"/>
              <w:rPr>
                <w:rFonts w:asciiTheme="minorHAnsi" w:hAnsiTheme="minorHAnsi" w:cs="Arial"/>
                <w:b/>
                <w:bCs/>
                <w:color w:val="000000"/>
                <w:lang w:eastAsia="en-GB"/>
              </w:rPr>
            </w:pPr>
          </w:p>
        </w:tc>
        <w:tc>
          <w:tcPr>
            <w:tcW w:w="618" w:type="dxa"/>
            <w:tcBorders>
              <w:top w:val="nil"/>
              <w:left w:val="nil"/>
              <w:bottom w:val="nil"/>
              <w:right w:val="nil"/>
            </w:tcBorders>
          </w:tcPr>
          <w:p w:rsidR="00D1027A" w:rsidRDefault="00D1027A" w:rsidP="004C12B8">
            <w:pPr>
              <w:jc w:val="left"/>
              <w:rPr>
                <w:rFonts w:asciiTheme="minorHAnsi" w:hAnsiTheme="minorHAnsi" w:cs="Arial"/>
                <w:b/>
                <w:bCs/>
                <w:color w:val="000000"/>
                <w:sz w:val="20"/>
                <w:szCs w:val="20"/>
                <w:lang w:eastAsia="en-GB"/>
              </w:rPr>
            </w:pPr>
          </w:p>
        </w:tc>
        <w:tc>
          <w:tcPr>
            <w:tcW w:w="1043" w:type="dxa"/>
            <w:tcBorders>
              <w:top w:val="nil"/>
              <w:left w:val="nil"/>
              <w:bottom w:val="single" w:sz="4" w:space="0" w:color="auto"/>
              <w:right w:val="nil"/>
            </w:tcBorders>
          </w:tcPr>
          <w:p w:rsidR="00D1027A" w:rsidRPr="00D1027A" w:rsidRDefault="00D1027A" w:rsidP="004C12B8">
            <w:pPr>
              <w:jc w:val="left"/>
              <w:rPr>
                <w:rFonts w:asciiTheme="minorHAnsi" w:hAnsiTheme="minorHAnsi" w:cs="Arial"/>
                <w:b/>
                <w:bCs/>
                <w:color w:val="000000"/>
                <w:lang w:eastAsia="en-GB"/>
              </w:rPr>
            </w:pPr>
          </w:p>
        </w:tc>
        <w:tc>
          <w:tcPr>
            <w:tcW w:w="1043" w:type="dxa"/>
            <w:tcBorders>
              <w:top w:val="nil"/>
              <w:left w:val="nil"/>
              <w:bottom w:val="single" w:sz="4" w:space="0" w:color="auto"/>
              <w:right w:val="nil"/>
            </w:tcBorders>
          </w:tcPr>
          <w:p w:rsidR="00D1027A" w:rsidRPr="00D1027A" w:rsidRDefault="00D1027A" w:rsidP="004C12B8">
            <w:pPr>
              <w:jc w:val="left"/>
              <w:rPr>
                <w:rFonts w:asciiTheme="minorHAnsi" w:hAnsiTheme="minorHAnsi" w:cs="Arial"/>
                <w:b/>
                <w:bCs/>
                <w:color w:val="000000"/>
                <w:lang w:eastAsia="en-GB"/>
              </w:rPr>
            </w:pPr>
          </w:p>
        </w:tc>
        <w:tc>
          <w:tcPr>
            <w:tcW w:w="1043" w:type="dxa"/>
            <w:tcBorders>
              <w:top w:val="nil"/>
              <w:left w:val="nil"/>
              <w:bottom w:val="single" w:sz="4" w:space="0" w:color="auto"/>
              <w:right w:val="nil"/>
            </w:tcBorders>
          </w:tcPr>
          <w:p w:rsidR="00D1027A" w:rsidRPr="00D1027A" w:rsidRDefault="00D1027A" w:rsidP="004C12B8">
            <w:pPr>
              <w:jc w:val="left"/>
              <w:rPr>
                <w:rFonts w:asciiTheme="minorHAnsi" w:hAnsiTheme="minorHAnsi" w:cs="Arial"/>
                <w:b/>
                <w:bCs/>
                <w:color w:val="000000"/>
                <w:lang w:eastAsia="en-GB"/>
              </w:rPr>
            </w:pPr>
          </w:p>
        </w:tc>
        <w:tc>
          <w:tcPr>
            <w:tcW w:w="1043" w:type="dxa"/>
            <w:tcBorders>
              <w:top w:val="nil"/>
              <w:left w:val="nil"/>
              <w:bottom w:val="single" w:sz="4" w:space="0" w:color="auto"/>
              <w:right w:val="nil"/>
            </w:tcBorders>
          </w:tcPr>
          <w:p w:rsidR="00D1027A" w:rsidRPr="00D1027A" w:rsidRDefault="00D1027A" w:rsidP="004C12B8">
            <w:pPr>
              <w:jc w:val="left"/>
              <w:rPr>
                <w:rFonts w:asciiTheme="minorHAnsi" w:hAnsiTheme="minorHAnsi" w:cs="Arial"/>
                <w:b/>
                <w:bCs/>
                <w:color w:val="000000"/>
                <w:lang w:eastAsia="en-GB"/>
              </w:rPr>
            </w:pPr>
          </w:p>
        </w:tc>
        <w:tc>
          <w:tcPr>
            <w:tcW w:w="1043" w:type="dxa"/>
            <w:tcBorders>
              <w:top w:val="nil"/>
              <w:left w:val="nil"/>
              <w:bottom w:val="single" w:sz="4" w:space="0" w:color="auto"/>
              <w:right w:val="nil"/>
            </w:tcBorders>
          </w:tcPr>
          <w:p w:rsidR="00D1027A" w:rsidRPr="00D1027A" w:rsidRDefault="00D1027A" w:rsidP="004C12B8">
            <w:pPr>
              <w:jc w:val="left"/>
              <w:rPr>
                <w:rFonts w:asciiTheme="minorHAnsi" w:hAnsiTheme="minorHAnsi" w:cs="Arial"/>
                <w:b/>
                <w:bCs/>
                <w:color w:val="000000"/>
                <w:lang w:eastAsia="en-GB"/>
              </w:rPr>
            </w:pPr>
          </w:p>
        </w:tc>
        <w:tc>
          <w:tcPr>
            <w:tcW w:w="1044" w:type="dxa"/>
            <w:tcBorders>
              <w:top w:val="nil"/>
              <w:left w:val="nil"/>
              <w:bottom w:val="single" w:sz="4" w:space="0" w:color="auto"/>
              <w:right w:val="nil"/>
            </w:tcBorders>
          </w:tcPr>
          <w:p w:rsidR="00D1027A" w:rsidRPr="00D1027A" w:rsidRDefault="00D1027A" w:rsidP="004C12B8">
            <w:pPr>
              <w:jc w:val="left"/>
              <w:rPr>
                <w:rFonts w:asciiTheme="minorHAnsi" w:hAnsiTheme="minorHAnsi" w:cs="Arial"/>
                <w:b/>
                <w:bCs/>
                <w:color w:val="000000"/>
                <w:lang w:eastAsia="en-GB"/>
              </w:rPr>
            </w:pPr>
          </w:p>
        </w:tc>
      </w:tr>
      <w:tr w:rsidR="00D1027A" w:rsidTr="00D1027A">
        <w:tc>
          <w:tcPr>
            <w:tcW w:w="3085" w:type="dxa"/>
            <w:tcBorders>
              <w:top w:val="nil"/>
              <w:left w:val="nil"/>
              <w:bottom w:val="nil"/>
              <w:right w:val="nil"/>
            </w:tcBorders>
          </w:tcPr>
          <w:p w:rsidR="00D1027A" w:rsidRPr="00D1027A" w:rsidRDefault="00D1027A" w:rsidP="004C12B8">
            <w:pPr>
              <w:jc w:val="left"/>
              <w:rPr>
                <w:rFonts w:asciiTheme="minorHAnsi" w:hAnsiTheme="minorHAnsi" w:cs="Arial"/>
                <w:b/>
                <w:bCs/>
                <w:color w:val="000000"/>
                <w:lang w:eastAsia="en-GB"/>
              </w:rPr>
            </w:pPr>
          </w:p>
        </w:tc>
        <w:tc>
          <w:tcPr>
            <w:tcW w:w="618" w:type="dxa"/>
            <w:tcBorders>
              <w:top w:val="nil"/>
              <w:left w:val="nil"/>
              <w:bottom w:val="nil"/>
              <w:right w:val="nil"/>
            </w:tcBorders>
          </w:tcPr>
          <w:p w:rsidR="00D1027A" w:rsidRDefault="00D1027A" w:rsidP="004C12B8">
            <w:pPr>
              <w:jc w:val="left"/>
              <w:rPr>
                <w:rFonts w:asciiTheme="minorHAnsi" w:hAnsiTheme="minorHAnsi" w:cs="Arial"/>
                <w:b/>
                <w:bCs/>
                <w:color w:val="000000"/>
                <w:sz w:val="20"/>
                <w:szCs w:val="20"/>
                <w:lang w:eastAsia="en-GB"/>
              </w:rPr>
            </w:pPr>
          </w:p>
        </w:tc>
        <w:tc>
          <w:tcPr>
            <w:tcW w:w="1043" w:type="dxa"/>
            <w:tcBorders>
              <w:top w:val="single" w:sz="4" w:space="0" w:color="auto"/>
              <w:left w:val="nil"/>
              <w:bottom w:val="nil"/>
              <w:right w:val="nil"/>
            </w:tcBorders>
          </w:tcPr>
          <w:p w:rsidR="00D1027A" w:rsidRPr="00D1027A" w:rsidRDefault="00D1027A" w:rsidP="004C12B8">
            <w:pPr>
              <w:jc w:val="left"/>
              <w:rPr>
                <w:rFonts w:asciiTheme="minorHAnsi" w:hAnsiTheme="minorHAnsi" w:cs="Arial"/>
                <w:b/>
                <w:bCs/>
                <w:color w:val="000000"/>
                <w:lang w:eastAsia="en-GB"/>
              </w:rPr>
            </w:pPr>
          </w:p>
        </w:tc>
        <w:tc>
          <w:tcPr>
            <w:tcW w:w="1043" w:type="dxa"/>
            <w:tcBorders>
              <w:top w:val="single" w:sz="4" w:space="0" w:color="auto"/>
              <w:left w:val="nil"/>
              <w:bottom w:val="nil"/>
              <w:right w:val="nil"/>
            </w:tcBorders>
          </w:tcPr>
          <w:p w:rsidR="00D1027A" w:rsidRPr="00D1027A" w:rsidRDefault="00D1027A" w:rsidP="004C12B8">
            <w:pPr>
              <w:jc w:val="left"/>
              <w:rPr>
                <w:rFonts w:asciiTheme="minorHAnsi" w:hAnsiTheme="minorHAnsi" w:cs="Arial"/>
                <w:b/>
                <w:bCs/>
                <w:color w:val="000000"/>
                <w:lang w:eastAsia="en-GB"/>
              </w:rPr>
            </w:pPr>
          </w:p>
        </w:tc>
        <w:tc>
          <w:tcPr>
            <w:tcW w:w="1043" w:type="dxa"/>
            <w:tcBorders>
              <w:top w:val="single" w:sz="4" w:space="0" w:color="auto"/>
              <w:left w:val="nil"/>
              <w:bottom w:val="nil"/>
              <w:right w:val="nil"/>
            </w:tcBorders>
          </w:tcPr>
          <w:p w:rsidR="00D1027A" w:rsidRPr="00D1027A" w:rsidRDefault="00D1027A" w:rsidP="004C12B8">
            <w:pPr>
              <w:jc w:val="left"/>
              <w:rPr>
                <w:rFonts w:asciiTheme="minorHAnsi" w:hAnsiTheme="minorHAnsi" w:cs="Arial"/>
                <w:b/>
                <w:bCs/>
                <w:color w:val="000000"/>
                <w:lang w:eastAsia="en-GB"/>
              </w:rPr>
            </w:pPr>
          </w:p>
        </w:tc>
        <w:tc>
          <w:tcPr>
            <w:tcW w:w="1043" w:type="dxa"/>
            <w:tcBorders>
              <w:top w:val="single" w:sz="4" w:space="0" w:color="auto"/>
              <w:left w:val="nil"/>
              <w:bottom w:val="nil"/>
              <w:right w:val="nil"/>
            </w:tcBorders>
          </w:tcPr>
          <w:p w:rsidR="00D1027A" w:rsidRPr="00D1027A" w:rsidRDefault="00D1027A" w:rsidP="004C12B8">
            <w:pPr>
              <w:jc w:val="left"/>
              <w:rPr>
                <w:rFonts w:asciiTheme="minorHAnsi" w:hAnsiTheme="minorHAnsi" w:cs="Arial"/>
                <w:b/>
                <w:bCs/>
                <w:color w:val="000000"/>
                <w:lang w:eastAsia="en-GB"/>
              </w:rPr>
            </w:pPr>
          </w:p>
        </w:tc>
        <w:tc>
          <w:tcPr>
            <w:tcW w:w="1043" w:type="dxa"/>
            <w:tcBorders>
              <w:top w:val="single" w:sz="4" w:space="0" w:color="auto"/>
              <w:left w:val="nil"/>
              <w:bottom w:val="nil"/>
              <w:right w:val="nil"/>
            </w:tcBorders>
          </w:tcPr>
          <w:p w:rsidR="00D1027A" w:rsidRPr="00D1027A" w:rsidRDefault="00D1027A" w:rsidP="004C12B8">
            <w:pPr>
              <w:jc w:val="left"/>
              <w:rPr>
                <w:rFonts w:asciiTheme="minorHAnsi" w:hAnsiTheme="minorHAnsi" w:cs="Arial"/>
                <w:b/>
                <w:bCs/>
                <w:color w:val="000000"/>
                <w:lang w:eastAsia="en-GB"/>
              </w:rPr>
            </w:pPr>
          </w:p>
        </w:tc>
        <w:tc>
          <w:tcPr>
            <w:tcW w:w="1044" w:type="dxa"/>
            <w:tcBorders>
              <w:top w:val="single" w:sz="4" w:space="0" w:color="auto"/>
              <w:left w:val="nil"/>
              <w:bottom w:val="nil"/>
              <w:right w:val="nil"/>
            </w:tcBorders>
          </w:tcPr>
          <w:p w:rsidR="00D1027A" w:rsidRPr="00D1027A" w:rsidRDefault="00D1027A" w:rsidP="004C12B8">
            <w:pPr>
              <w:jc w:val="left"/>
              <w:rPr>
                <w:rFonts w:asciiTheme="minorHAnsi" w:hAnsiTheme="minorHAnsi" w:cs="Arial"/>
                <w:b/>
                <w:bCs/>
                <w:color w:val="000000"/>
                <w:lang w:eastAsia="en-GB"/>
              </w:rPr>
            </w:pPr>
          </w:p>
        </w:tc>
      </w:tr>
      <w:tr w:rsidR="00D1027A" w:rsidTr="00D1027A">
        <w:tc>
          <w:tcPr>
            <w:tcW w:w="3085" w:type="dxa"/>
            <w:tcBorders>
              <w:top w:val="nil"/>
              <w:left w:val="nil"/>
              <w:bottom w:val="nil"/>
              <w:right w:val="nil"/>
            </w:tcBorders>
          </w:tcPr>
          <w:p w:rsidR="00D1027A" w:rsidRPr="00D1027A" w:rsidRDefault="00D1027A" w:rsidP="004C12B8">
            <w:pPr>
              <w:jc w:val="left"/>
              <w:rPr>
                <w:rFonts w:asciiTheme="minorHAnsi" w:hAnsiTheme="minorHAnsi" w:cs="Arial"/>
                <w:bCs/>
                <w:color w:val="000000"/>
                <w:lang w:eastAsia="en-GB"/>
              </w:rPr>
            </w:pPr>
            <w:r w:rsidRPr="00D1027A">
              <w:rPr>
                <w:rFonts w:asciiTheme="minorHAnsi" w:hAnsiTheme="minorHAnsi" w:cs="Arial"/>
                <w:bCs/>
                <w:color w:val="000000"/>
                <w:lang w:eastAsia="en-GB"/>
              </w:rPr>
              <w:t>Basic earnings per share from continuing operations</w:t>
            </w:r>
          </w:p>
        </w:tc>
        <w:tc>
          <w:tcPr>
            <w:tcW w:w="618" w:type="dxa"/>
            <w:tcBorders>
              <w:top w:val="nil"/>
              <w:left w:val="nil"/>
              <w:bottom w:val="nil"/>
              <w:right w:val="nil"/>
            </w:tcBorders>
          </w:tcPr>
          <w:p w:rsidR="00D1027A" w:rsidRPr="00D1027A" w:rsidRDefault="00D1027A" w:rsidP="004C12B8">
            <w:pPr>
              <w:jc w:val="left"/>
              <w:rPr>
                <w:rFonts w:asciiTheme="minorHAnsi" w:hAnsiTheme="minorHAnsi" w:cs="Arial"/>
                <w:bCs/>
                <w:color w:val="000000"/>
                <w:sz w:val="20"/>
                <w:szCs w:val="20"/>
                <w:lang w:eastAsia="en-GB"/>
              </w:rPr>
            </w:pPr>
          </w:p>
        </w:tc>
        <w:tc>
          <w:tcPr>
            <w:tcW w:w="1043" w:type="dxa"/>
            <w:tcBorders>
              <w:top w:val="nil"/>
              <w:left w:val="nil"/>
              <w:bottom w:val="nil"/>
              <w:right w:val="nil"/>
            </w:tcBorders>
          </w:tcPr>
          <w:p w:rsidR="00D1027A" w:rsidRPr="00D1027A" w:rsidRDefault="00D1027A" w:rsidP="004C12B8">
            <w:pPr>
              <w:jc w:val="left"/>
              <w:rPr>
                <w:rFonts w:asciiTheme="minorHAnsi" w:hAnsiTheme="minorHAnsi" w:cs="Arial"/>
                <w:bCs/>
                <w:color w:val="000000"/>
                <w:lang w:eastAsia="en-GB"/>
              </w:rPr>
            </w:pPr>
          </w:p>
        </w:tc>
        <w:tc>
          <w:tcPr>
            <w:tcW w:w="1043" w:type="dxa"/>
            <w:tcBorders>
              <w:top w:val="nil"/>
              <w:left w:val="nil"/>
              <w:bottom w:val="nil"/>
              <w:right w:val="nil"/>
            </w:tcBorders>
          </w:tcPr>
          <w:p w:rsidR="00D1027A" w:rsidRPr="00D1027A" w:rsidRDefault="00D1027A" w:rsidP="004C12B8">
            <w:pPr>
              <w:jc w:val="left"/>
              <w:rPr>
                <w:rFonts w:asciiTheme="minorHAnsi" w:hAnsiTheme="minorHAnsi" w:cs="Arial"/>
                <w:bCs/>
                <w:color w:val="000000"/>
                <w:lang w:eastAsia="en-GB"/>
              </w:rPr>
            </w:pPr>
          </w:p>
        </w:tc>
        <w:tc>
          <w:tcPr>
            <w:tcW w:w="1043" w:type="dxa"/>
            <w:tcBorders>
              <w:top w:val="nil"/>
              <w:left w:val="nil"/>
              <w:bottom w:val="nil"/>
              <w:right w:val="nil"/>
            </w:tcBorders>
          </w:tcPr>
          <w:p w:rsidR="00D1027A" w:rsidRPr="00D1027A" w:rsidRDefault="00D1027A" w:rsidP="00D1027A">
            <w:pPr>
              <w:jc w:val="right"/>
              <w:rPr>
                <w:rFonts w:asciiTheme="minorHAnsi" w:hAnsiTheme="minorHAnsi" w:cs="Arial"/>
                <w:bCs/>
                <w:color w:val="000000"/>
                <w:lang w:eastAsia="en-GB"/>
              </w:rPr>
            </w:pPr>
          </w:p>
          <w:p w:rsidR="00D1027A" w:rsidRPr="00D1027A" w:rsidRDefault="00D1027A" w:rsidP="00D1027A">
            <w:pPr>
              <w:jc w:val="right"/>
              <w:rPr>
                <w:rFonts w:asciiTheme="minorHAnsi" w:hAnsiTheme="minorHAnsi" w:cs="Arial"/>
                <w:bCs/>
                <w:color w:val="000000"/>
                <w:lang w:eastAsia="en-GB"/>
              </w:rPr>
            </w:pPr>
            <w:r w:rsidRPr="00D1027A">
              <w:rPr>
                <w:rFonts w:asciiTheme="minorHAnsi" w:hAnsiTheme="minorHAnsi" w:cs="Arial"/>
                <w:bCs/>
                <w:color w:val="000000"/>
                <w:lang w:eastAsia="en-GB"/>
              </w:rPr>
              <w:t>2.72 p</w:t>
            </w:r>
          </w:p>
        </w:tc>
        <w:tc>
          <w:tcPr>
            <w:tcW w:w="1043" w:type="dxa"/>
            <w:tcBorders>
              <w:top w:val="nil"/>
              <w:left w:val="nil"/>
              <w:bottom w:val="nil"/>
              <w:right w:val="nil"/>
            </w:tcBorders>
          </w:tcPr>
          <w:p w:rsidR="00D1027A" w:rsidRPr="00D1027A" w:rsidRDefault="00D1027A" w:rsidP="00D1027A">
            <w:pPr>
              <w:jc w:val="right"/>
              <w:rPr>
                <w:rFonts w:asciiTheme="minorHAnsi" w:hAnsiTheme="minorHAnsi" w:cs="Arial"/>
                <w:bCs/>
                <w:color w:val="000000"/>
                <w:lang w:eastAsia="en-GB"/>
              </w:rPr>
            </w:pPr>
          </w:p>
        </w:tc>
        <w:tc>
          <w:tcPr>
            <w:tcW w:w="1043" w:type="dxa"/>
            <w:tcBorders>
              <w:top w:val="nil"/>
              <w:left w:val="nil"/>
              <w:bottom w:val="nil"/>
              <w:right w:val="nil"/>
            </w:tcBorders>
          </w:tcPr>
          <w:p w:rsidR="00D1027A" w:rsidRPr="00D1027A" w:rsidRDefault="00D1027A" w:rsidP="00D1027A">
            <w:pPr>
              <w:jc w:val="right"/>
              <w:rPr>
                <w:rFonts w:asciiTheme="minorHAnsi" w:hAnsiTheme="minorHAnsi" w:cs="Arial"/>
                <w:bCs/>
                <w:color w:val="000000"/>
                <w:lang w:eastAsia="en-GB"/>
              </w:rPr>
            </w:pPr>
          </w:p>
        </w:tc>
        <w:tc>
          <w:tcPr>
            <w:tcW w:w="1044" w:type="dxa"/>
            <w:tcBorders>
              <w:top w:val="nil"/>
              <w:left w:val="nil"/>
              <w:bottom w:val="nil"/>
              <w:right w:val="nil"/>
            </w:tcBorders>
          </w:tcPr>
          <w:p w:rsidR="00D1027A" w:rsidRPr="00D1027A" w:rsidRDefault="00D1027A" w:rsidP="00D1027A">
            <w:pPr>
              <w:jc w:val="right"/>
              <w:rPr>
                <w:rFonts w:asciiTheme="minorHAnsi" w:hAnsiTheme="minorHAnsi" w:cs="Arial"/>
                <w:bCs/>
                <w:color w:val="000000"/>
                <w:lang w:eastAsia="en-GB"/>
              </w:rPr>
            </w:pPr>
          </w:p>
          <w:p w:rsidR="00D1027A" w:rsidRPr="00D1027A" w:rsidRDefault="00D1027A" w:rsidP="00D1027A">
            <w:pPr>
              <w:jc w:val="right"/>
              <w:rPr>
                <w:rFonts w:asciiTheme="minorHAnsi" w:hAnsiTheme="minorHAnsi" w:cs="Arial"/>
                <w:bCs/>
                <w:color w:val="000000"/>
                <w:lang w:eastAsia="en-GB"/>
              </w:rPr>
            </w:pPr>
            <w:r w:rsidRPr="00D1027A">
              <w:rPr>
                <w:rFonts w:asciiTheme="minorHAnsi" w:hAnsiTheme="minorHAnsi" w:cs="Arial"/>
                <w:bCs/>
                <w:color w:val="000000"/>
                <w:lang w:eastAsia="en-GB"/>
              </w:rPr>
              <w:t>0.18 p</w:t>
            </w:r>
          </w:p>
        </w:tc>
      </w:tr>
      <w:tr w:rsidR="00D1027A" w:rsidTr="00D1027A">
        <w:tc>
          <w:tcPr>
            <w:tcW w:w="3085" w:type="dxa"/>
            <w:tcBorders>
              <w:top w:val="nil"/>
              <w:left w:val="nil"/>
              <w:bottom w:val="nil"/>
              <w:right w:val="nil"/>
            </w:tcBorders>
          </w:tcPr>
          <w:p w:rsidR="00D1027A" w:rsidRPr="00D1027A" w:rsidRDefault="00D1027A" w:rsidP="003B1B2D">
            <w:pPr>
              <w:jc w:val="left"/>
              <w:rPr>
                <w:rFonts w:asciiTheme="minorHAnsi" w:hAnsiTheme="minorHAnsi" w:cs="Arial"/>
                <w:bCs/>
                <w:color w:val="000000"/>
                <w:lang w:eastAsia="en-GB"/>
              </w:rPr>
            </w:pPr>
            <w:r w:rsidRPr="00D1027A">
              <w:rPr>
                <w:rFonts w:asciiTheme="minorHAnsi" w:hAnsiTheme="minorHAnsi" w:cs="Arial"/>
                <w:bCs/>
                <w:color w:val="000000"/>
                <w:lang w:eastAsia="en-GB"/>
              </w:rPr>
              <w:t>Diluted earnings per share from continuing operations</w:t>
            </w:r>
          </w:p>
        </w:tc>
        <w:tc>
          <w:tcPr>
            <w:tcW w:w="618" w:type="dxa"/>
            <w:tcBorders>
              <w:top w:val="nil"/>
              <w:left w:val="nil"/>
              <w:bottom w:val="nil"/>
              <w:right w:val="nil"/>
            </w:tcBorders>
          </w:tcPr>
          <w:p w:rsidR="00D1027A" w:rsidRPr="00D1027A" w:rsidRDefault="00D1027A" w:rsidP="004C12B8">
            <w:pPr>
              <w:jc w:val="left"/>
              <w:rPr>
                <w:rFonts w:asciiTheme="minorHAnsi" w:hAnsiTheme="minorHAnsi" w:cs="Arial"/>
                <w:bCs/>
                <w:color w:val="000000"/>
                <w:sz w:val="20"/>
                <w:szCs w:val="20"/>
                <w:lang w:eastAsia="en-GB"/>
              </w:rPr>
            </w:pPr>
          </w:p>
        </w:tc>
        <w:tc>
          <w:tcPr>
            <w:tcW w:w="1043" w:type="dxa"/>
            <w:tcBorders>
              <w:top w:val="nil"/>
              <w:left w:val="nil"/>
              <w:bottom w:val="nil"/>
              <w:right w:val="nil"/>
            </w:tcBorders>
          </w:tcPr>
          <w:p w:rsidR="00D1027A" w:rsidRPr="00D1027A" w:rsidRDefault="00D1027A" w:rsidP="004C12B8">
            <w:pPr>
              <w:jc w:val="left"/>
              <w:rPr>
                <w:rFonts w:asciiTheme="minorHAnsi" w:hAnsiTheme="minorHAnsi" w:cs="Arial"/>
                <w:bCs/>
                <w:color w:val="000000"/>
                <w:lang w:eastAsia="en-GB"/>
              </w:rPr>
            </w:pPr>
          </w:p>
        </w:tc>
        <w:tc>
          <w:tcPr>
            <w:tcW w:w="1043" w:type="dxa"/>
            <w:tcBorders>
              <w:top w:val="nil"/>
              <w:left w:val="nil"/>
              <w:bottom w:val="nil"/>
              <w:right w:val="nil"/>
            </w:tcBorders>
          </w:tcPr>
          <w:p w:rsidR="00D1027A" w:rsidRPr="00D1027A" w:rsidRDefault="00D1027A" w:rsidP="004C12B8">
            <w:pPr>
              <w:jc w:val="left"/>
              <w:rPr>
                <w:rFonts w:asciiTheme="minorHAnsi" w:hAnsiTheme="minorHAnsi" w:cs="Arial"/>
                <w:bCs/>
                <w:color w:val="000000"/>
                <w:lang w:eastAsia="en-GB"/>
              </w:rPr>
            </w:pPr>
          </w:p>
        </w:tc>
        <w:tc>
          <w:tcPr>
            <w:tcW w:w="1043" w:type="dxa"/>
            <w:tcBorders>
              <w:top w:val="nil"/>
              <w:left w:val="nil"/>
              <w:bottom w:val="nil"/>
              <w:right w:val="nil"/>
            </w:tcBorders>
          </w:tcPr>
          <w:p w:rsidR="00D1027A" w:rsidRPr="00D1027A" w:rsidRDefault="00D1027A" w:rsidP="00D1027A">
            <w:pPr>
              <w:jc w:val="right"/>
              <w:rPr>
                <w:rFonts w:asciiTheme="minorHAnsi" w:hAnsiTheme="minorHAnsi" w:cs="Arial"/>
                <w:bCs/>
                <w:color w:val="000000"/>
                <w:lang w:eastAsia="en-GB"/>
              </w:rPr>
            </w:pPr>
          </w:p>
          <w:p w:rsidR="00D1027A" w:rsidRPr="00D1027A" w:rsidRDefault="00D1027A" w:rsidP="00D1027A">
            <w:pPr>
              <w:jc w:val="right"/>
              <w:rPr>
                <w:rFonts w:asciiTheme="minorHAnsi" w:hAnsiTheme="minorHAnsi" w:cs="Arial"/>
                <w:bCs/>
                <w:color w:val="000000"/>
                <w:lang w:eastAsia="en-GB"/>
              </w:rPr>
            </w:pPr>
            <w:r w:rsidRPr="00D1027A">
              <w:rPr>
                <w:rFonts w:asciiTheme="minorHAnsi" w:hAnsiTheme="minorHAnsi" w:cs="Arial"/>
                <w:bCs/>
                <w:color w:val="000000"/>
                <w:lang w:eastAsia="en-GB"/>
              </w:rPr>
              <w:t>2.72 p</w:t>
            </w:r>
          </w:p>
        </w:tc>
        <w:tc>
          <w:tcPr>
            <w:tcW w:w="1043" w:type="dxa"/>
            <w:tcBorders>
              <w:top w:val="nil"/>
              <w:left w:val="nil"/>
              <w:bottom w:val="nil"/>
              <w:right w:val="nil"/>
            </w:tcBorders>
          </w:tcPr>
          <w:p w:rsidR="00D1027A" w:rsidRPr="00D1027A" w:rsidRDefault="00D1027A" w:rsidP="00D1027A">
            <w:pPr>
              <w:jc w:val="right"/>
              <w:rPr>
                <w:rFonts w:asciiTheme="minorHAnsi" w:hAnsiTheme="minorHAnsi" w:cs="Arial"/>
                <w:bCs/>
                <w:color w:val="000000"/>
                <w:lang w:eastAsia="en-GB"/>
              </w:rPr>
            </w:pPr>
          </w:p>
        </w:tc>
        <w:tc>
          <w:tcPr>
            <w:tcW w:w="1043" w:type="dxa"/>
            <w:tcBorders>
              <w:top w:val="nil"/>
              <w:left w:val="nil"/>
              <w:bottom w:val="nil"/>
              <w:right w:val="nil"/>
            </w:tcBorders>
          </w:tcPr>
          <w:p w:rsidR="00D1027A" w:rsidRPr="00D1027A" w:rsidRDefault="00D1027A" w:rsidP="00D1027A">
            <w:pPr>
              <w:jc w:val="right"/>
              <w:rPr>
                <w:rFonts w:asciiTheme="minorHAnsi" w:hAnsiTheme="minorHAnsi" w:cs="Arial"/>
                <w:bCs/>
                <w:color w:val="000000"/>
                <w:lang w:eastAsia="en-GB"/>
              </w:rPr>
            </w:pPr>
          </w:p>
        </w:tc>
        <w:tc>
          <w:tcPr>
            <w:tcW w:w="1044" w:type="dxa"/>
            <w:tcBorders>
              <w:top w:val="nil"/>
              <w:left w:val="nil"/>
              <w:bottom w:val="nil"/>
              <w:right w:val="nil"/>
            </w:tcBorders>
          </w:tcPr>
          <w:p w:rsidR="00D1027A" w:rsidRPr="00D1027A" w:rsidRDefault="00D1027A" w:rsidP="00D1027A">
            <w:pPr>
              <w:jc w:val="right"/>
              <w:rPr>
                <w:rFonts w:asciiTheme="minorHAnsi" w:hAnsiTheme="minorHAnsi" w:cs="Arial"/>
                <w:bCs/>
                <w:color w:val="000000"/>
                <w:lang w:eastAsia="en-GB"/>
              </w:rPr>
            </w:pPr>
          </w:p>
          <w:p w:rsidR="00D1027A" w:rsidRPr="00D1027A" w:rsidRDefault="00D1027A" w:rsidP="00D1027A">
            <w:pPr>
              <w:jc w:val="right"/>
              <w:rPr>
                <w:rFonts w:asciiTheme="minorHAnsi" w:hAnsiTheme="minorHAnsi" w:cs="Arial"/>
                <w:bCs/>
                <w:color w:val="000000"/>
                <w:lang w:eastAsia="en-GB"/>
              </w:rPr>
            </w:pPr>
            <w:r w:rsidRPr="00D1027A">
              <w:rPr>
                <w:rFonts w:asciiTheme="minorHAnsi" w:hAnsiTheme="minorHAnsi" w:cs="Arial"/>
                <w:bCs/>
                <w:color w:val="000000"/>
                <w:lang w:eastAsia="en-GB"/>
              </w:rPr>
              <w:t>0.17 p</w:t>
            </w:r>
          </w:p>
        </w:tc>
      </w:tr>
      <w:tr w:rsidR="00D1027A" w:rsidTr="00D1027A">
        <w:tc>
          <w:tcPr>
            <w:tcW w:w="3085" w:type="dxa"/>
            <w:tcBorders>
              <w:top w:val="nil"/>
              <w:left w:val="nil"/>
              <w:bottom w:val="nil"/>
              <w:right w:val="nil"/>
            </w:tcBorders>
          </w:tcPr>
          <w:p w:rsidR="00D1027A" w:rsidRDefault="00D1027A" w:rsidP="004C12B8">
            <w:pPr>
              <w:jc w:val="left"/>
              <w:rPr>
                <w:rFonts w:asciiTheme="minorHAnsi" w:hAnsiTheme="minorHAnsi" w:cs="Arial"/>
                <w:b/>
                <w:bCs/>
                <w:color w:val="000000"/>
                <w:sz w:val="20"/>
                <w:szCs w:val="20"/>
                <w:lang w:eastAsia="en-GB"/>
              </w:rPr>
            </w:pPr>
          </w:p>
        </w:tc>
        <w:tc>
          <w:tcPr>
            <w:tcW w:w="618" w:type="dxa"/>
            <w:tcBorders>
              <w:top w:val="nil"/>
              <w:left w:val="nil"/>
              <w:bottom w:val="nil"/>
              <w:right w:val="nil"/>
            </w:tcBorders>
          </w:tcPr>
          <w:p w:rsidR="00D1027A" w:rsidRDefault="00D1027A" w:rsidP="004C12B8">
            <w:pPr>
              <w:jc w:val="left"/>
              <w:rPr>
                <w:rFonts w:asciiTheme="minorHAnsi" w:hAnsiTheme="minorHAnsi" w:cs="Arial"/>
                <w:b/>
                <w:bCs/>
                <w:color w:val="000000"/>
                <w:sz w:val="20"/>
                <w:szCs w:val="20"/>
                <w:lang w:eastAsia="en-GB"/>
              </w:rPr>
            </w:pPr>
          </w:p>
        </w:tc>
        <w:tc>
          <w:tcPr>
            <w:tcW w:w="1043" w:type="dxa"/>
            <w:tcBorders>
              <w:top w:val="nil"/>
              <w:left w:val="nil"/>
              <w:bottom w:val="nil"/>
              <w:right w:val="nil"/>
            </w:tcBorders>
          </w:tcPr>
          <w:p w:rsidR="00D1027A" w:rsidRDefault="00D1027A" w:rsidP="004C12B8">
            <w:pPr>
              <w:jc w:val="left"/>
              <w:rPr>
                <w:rFonts w:asciiTheme="minorHAnsi" w:hAnsiTheme="minorHAnsi" w:cs="Arial"/>
                <w:b/>
                <w:bCs/>
                <w:color w:val="000000"/>
                <w:sz w:val="20"/>
                <w:szCs w:val="20"/>
                <w:lang w:eastAsia="en-GB"/>
              </w:rPr>
            </w:pPr>
          </w:p>
        </w:tc>
        <w:tc>
          <w:tcPr>
            <w:tcW w:w="1043" w:type="dxa"/>
            <w:tcBorders>
              <w:top w:val="nil"/>
              <w:left w:val="nil"/>
              <w:bottom w:val="nil"/>
              <w:right w:val="nil"/>
            </w:tcBorders>
          </w:tcPr>
          <w:p w:rsidR="00D1027A" w:rsidRDefault="00D1027A" w:rsidP="004C12B8">
            <w:pPr>
              <w:jc w:val="left"/>
              <w:rPr>
                <w:rFonts w:asciiTheme="minorHAnsi" w:hAnsiTheme="minorHAnsi" w:cs="Arial"/>
                <w:b/>
                <w:bCs/>
                <w:color w:val="000000"/>
                <w:sz w:val="20"/>
                <w:szCs w:val="20"/>
                <w:lang w:eastAsia="en-GB"/>
              </w:rPr>
            </w:pPr>
          </w:p>
        </w:tc>
        <w:tc>
          <w:tcPr>
            <w:tcW w:w="1043" w:type="dxa"/>
            <w:tcBorders>
              <w:top w:val="nil"/>
              <w:left w:val="nil"/>
              <w:bottom w:val="nil"/>
              <w:right w:val="nil"/>
            </w:tcBorders>
          </w:tcPr>
          <w:p w:rsidR="00D1027A" w:rsidRDefault="00D1027A" w:rsidP="004C12B8">
            <w:pPr>
              <w:jc w:val="left"/>
              <w:rPr>
                <w:rFonts w:asciiTheme="minorHAnsi" w:hAnsiTheme="minorHAnsi" w:cs="Arial"/>
                <w:b/>
                <w:bCs/>
                <w:color w:val="000000"/>
                <w:sz w:val="20"/>
                <w:szCs w:val="20"/>
                <w:lang w:eastAsia="en-GB"/>
              </w:rPr>
            </w:pPr>
          </w:p>
        </w:tc>
        <w:tc>
          <w:tcPr>
            <w:tcW w:w="1043" w:type="dxa"/>
            <w:tcBorders>
              <w:top w:val="nil"/>
              <w:left w:val="nil"/>
              <w:bottom w:val="nil"/>
              <w:right w:val="nil"/>
            </w:tcBorders>
          </w:tcPr>
          <w:p w:rsidR="00D1027A" w:rsidRDefault="00D1027A" w:rsidP="004C12B8">
            <w:pPr>
              <w:jc w:val="left"/>
              <w:rPr>
                <w:rFonts w:asciiTheme="minorHAnsi" w:hAnsiTheme="minorHAnsi" w:cs="Arial"/>
                <w:b/>
                <w:bCs/>
                <w:color w:val="000000"/>
                <w:sz w:val="20"/>
                <w:szCs w:val="20"/>
                <w:lang w:eastAsia="en-GB"/>
              </w:rPr>
            </w:pPr>
          </w:p>
        </w:tc>
        <w:tc>
          <w:tcPr>
            <w:tcW w:w="1043" w:type="dxa"/>
            <w:tcBorders>
              <w:top w:val="nil"/>
              <w:left w:val="nil"/>
              <w:bottom w:val="nil"/>
              <w:right w:val="nil"/>
            </w:tcBorders>
          </w:tcPr>
          <w:p w:rsidR="00D1027A" w:rsidRDefault="00D1027A" w:rsidP="004C12B8">
            <w:pPr>
              <w:jc w:val="left"/>
              <w:rPr>
                <w:rFonts w:asciiTheme="minorHAnsi" w:hAnsiTheme="minorHAnsi" w:cs="Arial"/>
                <w:b/>
                <w:bCs/>
                <w:color w:val="000000"/>
                <w:sz w:val="20"/>
                <w:szCs w:val="20"/>
                <w:lang w:eastAsia="en-GB"/>
              </w:rPr>
            </w:pPr>
          </w:p>
        </w:tc>
        <w:tc>
          <w:tcPr>
            <w:tcW w:w="1044" w:type="dxa"/>
            <w:tcBorders>
              <w:top w:val="nil"/>
              <w:left w:val="nil"/>
              <w:bottom w:val="nil"/>
              <w:right w:val="nil"/>
            </w:tcBorders>
          </w:tcPr>
          <w:p w:rsidR="00D1027A" w:rsidRDefault="00D1027A" w:rsidP="004C12B8">
            <w:pPr>
              <w:jc w:val="left"/>
              <w:rPr>
                <w:rFonts w:asciiTheme="minorHAnsi" w:hAnsiTheme="minorHAnsi" w:cs="Arial"/>
                <w:b/>
                <w:bCs/>
                <w:color w:val="000000"/>
                <w:sz w:val="20"/>
                <w:szCs w:val="20"/>
                <w:lang w:eastAsia="en-GB"/>
              </w:rPr>
            </w:pPr>
          </w:p>
        </w:tc>
      </w:tr>
      <w:tr w:rsidR="00D1027A" w:rsidTr="00D1027A">
        <w:tc>
          <w:tcPr>
            <w:tcW w:w="3085" w:type="dxa"/>
            <w:tcBorders>
              <w:top w:val="nil"/>
              <w:left w:val="nil"/>
              <w:bottom w:val="nil"/>
              <w:right w:val="nil"/>
            </w:tcBorders>
          </w:tcPr>
          <w:p w:rsidR="00D1027A" w:rsidRDefault="00D1027A" w:rsidP="004C12B8">
            <w:pPr>
              <w:jc w:val="left"/>
              <w:rPr>
                <w:rFonts w:asciiTheme="minorHAnsi" w:hAnsiTheme="minorHAnsi" w:cs="Arial"/>
                <w:b/>
                <w:bCs/>
                <w:color w:val="000000"/>
                <w:sz w:val="20"/>
                <w:szCs w:val="20"/>
                <w:lang w:eastAsia="en-GB"/>
              </w:rPr>
            </w:pPr>
          </w:p>
        </w:tc>
        <w:tc>
          <w:tcPr>
            <w:tcW w:w="618" w:type="dxa"/>
            <w:tcBorders>
              <w:top w:val="nil"/>
              <w:left w:val="nil"/>
              <w:bottom w:val="nil"/>
              <w:right w:val="nil"/>
            </w:tcBorders>
          </w:tcPr>
          <w:p w:rsidR="00D1027A" w:rsidRDefault="00D1027A" w:rsidP="004C12B8">
            <w:pPr>
              <w:jc w:val="left"/>
              <w:rPr>
                <w:rFonts w:asciiTheme="minorHAnsi" w:hAnsiTheme="minorHAnsi" w:cs="Arial"/>
                <w:b/>
                <w:bCs/>
                <w:color w:val="000000"/>
                <w:sz w:val="20"/>
                <w:szCs w:val="20"/>
                <w:lang w:eastAsia="en-GB"/>
              </w:rPr>
            </w:pPr>
          </w:p>
        </w:tc>
        <w:tc>
          <w:tcPr>
            <w:tcW w:w="1043" w:type="dxa"/>
            <w:tcBorders>
              <w:top w:val="nil"/>
              <w:left w:val="nil"/>
              <w:bottom w:val="nil"/>
              <w:right w:val="nil"/>
            </w:tcBorders>
          </w:tcPr>
          <w:p w:rsidR="00D1027A" w:rsidRDefault="00D1027A" w:rsidP="004C12B8">
            <w:pPr>
              <w:jc w:val="left"/>
              <w:rPr>
                <w:rFonts w:asciiTheme="minorHAnsi" w:hAnsiTheme="minorHAnsi" w:cs="Arial"/>
                <w:b/>
                <w:bCs/>
                <w:color w:val="000000"/>
                <w:sz w:val="20"/>
                <w:szCs w:val="20"/>
                <w:lang w:eastAsia="en-GB"/>
              </w:rPr>
            </w:pPr>
          </w:p>
        </w:tc>
        <w:tc>
          <w:tcPr>
            <w:tcW w:w="1043" w:type="dxa"/>
            <w:tcBorders>
              <w:top w:val="nil"/>
              <w:left w:val="nil"/>
              <w:bottom w:val="nil"/>
              <w:right w:val="nil"/>
            </w:tcBorders>
          </w:tcPr>
          <w:p w:rsidR="00D1027A" w:rsidRDefault="00D1027A" w:rsidP="004C12B8">
            <w:pPr>
              <w:jc w:val="left"/>
              <w:rPr>
                <w:rFonts w:asciiTheme="minorHAnsi" w:hAnsiTheme="minorHAnsi" w:cs="Arial"/>
                <w:b/>
                <w:bCs/>
                <w:color w:val="000000"/>
                <w:sz w:val="20"/>
                <w:szCs w:val="20"/>
                <w:lang w:eastAsia="en-GB"/>
              </w:rPr>
            </w:pPr>
          </w:p>
        </w:tc>
        <w:tc>
          <w:tcPr>
            <w:tcW w:w="1043" w:type="dxa"/>
            <w:tcBorders>
              <w:top w:val="nil"/>
              <w:left w:val="nil"/>
              <w:bottom w:val="nil"/>
              <w:right w:val="nil"/>
            </w:tcBorders>
          </w:tcPr>
          <w:p w:rsidR="00D1027A" w:rsidRDefault="00D1027A" w:rsidP="004C12B8">
            <w:pPr>
              <w:jc w:val="left"/>
              <w:rPr>
                <w:rFonts w:asciiTheme="minorHAnsi" w:hAnsiTheme="minorHAnsi" w:cs="Arial"/>
                <w:b/>
                <w:bCs/>
                <w:color w:val="000000"/>
                <w:sz w:val="20"/>
                <w:szCs w:val="20"/>
                <w:lang w:eastAsia="en-GB"/>
              </w:rPr>
            </w:pPr>
          </w:p>
        </w:tc>
        <w:tc>
          <w:tcPr>
            <w:tcW w:w="1043" w:type="dxa"/>
            <w:tcBorders>
              <w:top w:val="nil"/>
              <w:left w:val="nil"/>
              <w:bottom w:val="nil"/>
              <w:right w:val="nil"/>
            </w:tcBorders>
          </w:tcPr>
          <w:p w:rsidR="00D1027A" w:rsidRDefault="00D1027A" w:rsidP="004C12B8">
            <w:pPr>
              <w:jc w:val="left"/>
              <w:rPr>
                <w:rFonts w:asciiTheme="minorHAnsi" w:hAnsiTheme="minorHAnsi" w:cs="Arial"/>
                <w:b/>
                <w:bCs/>
                <w:color w:val="000000"/>
                <w:sz w:val="20"/>
                <w:szCs w:val="20"/>
                <w:lang w:eastAsia="en-GB"/>
              </w:rPr>
            </w:pPr>
          </w:p>
        </w:tc>
        <w:tc>
          <w:tcPr>
            <w:tcW w:w="1043" w:type="dxa"/>
            <w:tcBorders>
              <w:top w:val="nil"/>
              <w:left w:val="nil"/>
              <w:bottom w:val="nil"/>
              <w:right w:val="nil"/>
            </w:tcBorders>
          </w:tcPr>
          <w:p w:rsidR="00D1027A" w:rsidRDefault="00D1027A" w:rsidP="004C12B8">
            <w:pPr>
              <w:jc w:val="left"/>
              <w:rPr>
                <w:rFonts w:asciiTheme="minorHAnsi" w:hAnsiTheme="minorHAnsi" w:cs="Arial"/>
                <w:b/>
                <w:bCs/>
                <w:color w:val="000000"/>
                <w:sz w:val="20"/>
                <w:szCs w:val="20"/>
                <w:lang w:eastAsia="en-GB"/>
              </w:rPr>
            </w:pPr>
          </w:p>
        </w:tc>
        <w:tc>
          <w:tcPr>
            <w:tcW w:w="1044" w:type="dxa"/>
            <w:tcBorders>
              <w:top w:val="nil"/>
              <w:left w:val="nil"/>
              <w:bottom w:val="nil"/>
              <w:right w:val="nil"/>
            </w:tcBorders>
          </w:tcPr>
          <w:p w:rsidR="00D1027A" w:rsidRDefault="00D1027A" w:rsidP="004C12B8">
            <w:pPr>
              <w:jc w:val="left"/>
              <w:rPr>
                <w:rFonts w:asciiTheme="minorHAnsi" w:hAnsiTheme="minorHAnsi" w:cs="Arial"/>
                <w:b/>
                <w:bCs/>
                <w:color w:val="000000"/>
                <w:sz w:val="20"/>
                <w:szCs w:val="20"/>
                <w:lang w:eastAsia="en-GB"/>
              </w:rPr>
            </w:pPr>
          </w:p>
        </w:tc>
      </w:tr>
    </w:tbl>
    <w:p w:rsidR="004C12B8" w:rsidRPr="00DE2AC3" w:rsidRDefault="004C12B8" w:rsidP="004C12B8">
      <w:pPr>
        <w:jc w:val="left"/>
        <w:rPr>
          <w:rFonts w:asciiTheme="minorHAnsi" w:hAnsiTheme="minorHAnsi" w:cs="Arial"/>
          <w:b/>
          <w:bCs/>
          <w:color w:val="000000"/>
          <w:sz w:val="20"/>
          <w:szCs w:val="20"/>
          <w:lang w:eastAsia="en-GB"/>
        </w:rPr>
      </w:pPr>
    </w:p>
    <w:p w:rsidR="000825E9" w:rsidRPr="00DE2AC3" w:rsidRDefault="000825E9" w:rsidP="000825E9">
      <w:pPr>
        <w:rPr>
          <w:rFonts w:asciiTheme="minorHAnsi" w:hAnsiTheme="minorHAnsi" w:cs="Arial"/>
          <w:b/>
          <w:color w:val="000000"/>
          <w:sz w:val="20"/>
          <w:szCs w:val="20"/>
        </w:rPr>
      </w:pPr>
    </w:p>
    <w:p w:rsidR="000825E9" w:rsidRDefault="000825E9" w:rsidP="000825E9">
      <w:pPr>
        <w:rPr>
          <w:rFonts w:asciiTheme="minorHAnsi" w:hAnsiTheme="minorHAnsi" w:cs="Arial"/>
          <w:b/>
          <w:color w:val="000000"/>
          <w:sz w:val="20"/>
          <w:szCs w:val="20"/>
        </w:rPr>
      </w:pPr>
    </w:p>
    <w:p w:rsidR="004C12B8" w:rsidRDefault="004C12B8" w:rsidP="000825E9">
      <w:pPr>
        <w:rPr>
          <w:rFonts w:asciiTheme="minorHAnsi" w:hAnsiTheme="minorHAnsi" w:cs="Arial"/>
          <w:b/>
          <w:color w:val="000000"/>
          <w:sz w:val="20"/>
          <w:szCs w:val="20"/>
        </w:rPr>
      </w:pPr>
    </w:p>
    <w:p w:rsidR="004C12B8" w:rsidRDefault="004C12B8" w:rsidP="000825E9">
      <w:pPr>
        <w:rPr>
          <w:rFonts w:asciiTheme="minorHAnsi" w:hAnsiTheme="minorHAnsi" w:cs="Arial"/>
          <w:b/>
          <w:color w:val="000000"/>
          <w:sz w:val="20"/>
          <w:szCs w:val="20"/>
        </w:rPr>
      </w:pPr>
    </w:p>
    <w:p w:rsidR="004C12B8" w:rsidRDefault="004C12B8" w:rsidP="000825E9">
      <w:pPr>
        <w:rPr>
          <w:rFonts w:asciiTheme="minorHAnsi" w:hAnsiTheme="minorHAnsi" w:cs="Arial"/>
          <w:b/>
          <w:color w:val="000000"/>
          <w:sz w:val="20"/>
          <w:szCs w:val="20"/>
        </w:rPr>
      </w:pPr>
    </w:p>
    <w:p w:rsidR="004C12B8" w:rsidRDefault="004C12B8" w:rsidP="000825E9">
      <w:pPr>
        <w:rPr>
          <w:rFonts w:asciiTheme="minorHAnsi" w:hAnsiTheme="minorHAnsi" w:cs="Arial"/>
          <w:b/>
          <w:color w:val="000000"/>
          <w:sz w:val="20"/>
          <w:szCs w:val="20"/>
        </w:rPr>
      </w:pPr>
    </w:p>
    <w:p w:rsidR="004C12B8" w:rsidRPr="00DE2AC3" w:rsidRDefault="004C12B8" w:rsidP="000825E9">
      <w:pPr>
        <w:rPr>
          <w:rFonts w:asciiTheme="minorHAnsi" w:hAnsiTheme="minorHAnsi" w:cs="Arial"/>
          <w:b/>
          <w:color w:val="000000"/>
          <w:sz w:val="20"/>
          <w:szCs w:val="20"/>
        </w:rPr>
      </w:pPr>
    </w:p>
    <w:p w:rsidR="000825E9" w:rsidRPr="00DE2AC3" w:rsidRDefault="000825E9" w:rsidP="000825E9">
      <w:pPr>
        <w:rPr>
          <w:rFonts w:asciiTheme="minorHAnsi" w:hAnsiTheme="minorHAnsi" w:cs="Arial"/>
          <w:b/>
          <w:color w:val="000000"/>
          <w:sz w:val="20"/>
          <w:szCs w:val="20"/>
        </w:rPr>
      </w:pPr>
    </w:p>
    <w:p w:rsidR="000825E9" w:rsidRPr="00DE2AC3" w:rsidRDefault="000825E9" w:rsidP="000825E9">
      <w:pPr>
        <w:rPr>
          <w:rFonts w:asciiTheme="minorHAnsi" w:hAnsiTheme="minorHAnsi"/>
          <w:b/>
          <w:sz w:val="20"/>
          <w:szCs w:val="20"/>
        </w:rPr>
      </w:pPr>
    </w:p>
    <w:p w:rsidR="000825E9" w:rsidRDefault="000825E9">
      <w:pPr>
        <w:jc w:val="left"/>
        <w:rPr>
          <w:rFonts w:asciiTheme="minorHAnsi" w:hAnsiTheme="minorHAnsi" w:cs="Arial"/>
          <w:b/>
          <w:bCs/>
          <w:color w:val="000000"/>
          <w:sz w:val="20"/>
          <w:szCs w:val="20"/>
          <w:lang w:eastAsia="en-GB"/>
        </w:rPr>
      </w:pPr>
    </w:p>
    <w:p w:rsidR="004C12B8" w:rsidRDefault="004C12B8">
      <w:pPr>
        <w:jc w:val="left"/>
        <w:rPr>
          <w:rFonts w:asciiTheme="minorHAnsi" w:hAnsiTheme="minorHAnsi" w:cs="Arial"/>
          <w:b/>
          <w:bCs/>
          <w:color w:val="000000"/>
          <w:sz w:val="20"/>
          <w:szCs w:val="20"/>
          <w:lang w:eastAsia="en-GB"/>
        </w:rPr>
      </w:pPr>
    </w:p>
    <w:p w:rsidR="004C12B8" w:rsidRDefault="004C12B8">
      <w:pPr>
        <w:jc w:val="left"/>
        <w:rPr>
          <w:rFonts w:asciiTheme="minorHAnsi" w:hAnsiTheme="minorHAnsi" w:cs="Arial"/>
          <w:b/>
          <w:bCs/>
          <w:color w:val="000000"/>
          <w:sz w:val="20"/>
          <w:szCs w:val="20"/>
          <w:lang w:eastAsia="en-GB"/>
        </w:rPr>
      </w:pPr>
    </w:p>
    <w:p w:rsidR="004C12B8" w:rsidRDefault="004C12B8">
      <w:pPr>
        <w:jc w:val="left"/>
        <w:rPr>
          <w:rFonts w:asciiTheme="minorHAnsi" w:hAnsiTheme="minorHAnsi" w:cs="Arial"/>
          <w:b/>
          <w:bCs/>
          <w:color w:val="000000"/>
          <w:sz w:val="20"/>
          <w:szCs w:val="20"/>
          <w:lang w:eastAsia="en-GB"/>
        </w:rPr>
      </w:pPr>
    </w:p>
    <w:p w:rsidR="004C12B8" w:rsidRDefault="004C12B8">
      <w:pPr>
        <w:jc w:val="left"/>
        <w:rPr>
          <w:rFonts w:asciiTheme="minorHAnsi" w:hAnsiTheme="minorHAnsi" w:cs="Arial"/>
          <w:b/>
          <w:bCs/>
          <w:color w:val="000000"/>
          <w:sz w:val="20"/>
          <w:szCs w:val="20"/>
          <w:lang w:eastAsia="en-GB"/>
        </w:rPr>
      </w:pPr>
    </w:p>
    <w:p w:rsidR="004C12B8" w:rsidRDefault="004C12B8">
      <w:pPr>
        <w:jc w:val="left"/>
        <w:rPr>
          <w:rFonts w:asciiTheme="minorHAnsi" w:hAnsiTheme="minorHAnsi" w:cs="Arial"/>
          <w:b/>
          <w:bCs/>
          <w:color w:val="000000"/>
          <w:sz w:val="20"/>
          <w:szCs w:val="20"/>
          <w:lang w:eastAsia="en-GB"/>
        </w:rPr>
      </w:pPr>
    </w:p>
    <w:tbl>
      <w:tblPr>
        <w:tblpPr w:leftFromText="180" w:rightFromText="180" w:vertAnchor="text" w:horzAnchor="margin" w:tblpY="-9558"/>
        <w:tblW w:w="9574" w:type="dxa"/>
        <w:tblLook w:val="04A0" w:firstRow="1" w:lastRow="0" w:firstColumn="1" w:lastColumn="0" w:noHBand="0" w:noVBand="1"/>
      </w:tblPr>
      <w:tblGrid>
        <w:gridCol w:w="2458"/>
        <w:gridCol w:w="222"/>
        <w:gridCol w:w="222"/>
        <w:gridCol w:w="222"/>
        <w:gridCol w:w="393"/>
        <w:gridCol w:w="1514"/>
        <w:gridCol w:w="1553"/>
        <w:gridCol w:w="1495"/>
        <w:gridCol w:w="1495"/>
      </w:tblGrid>
      <w:tr w:rsidR="004C12B8" w:rsidRPr="006A44C0" w:rsidTr="004C12B8">
        <w:trPr>
          <w:trHeight w:val="110"/>
        </w:trPr>
        <w:tc>
          <w:tcPr>
            <w:tcW w:w="2458" w:type="dxa"/>
            <w:tcBorders>
              <w:top w:val="nil"/>
              <w:left w:val="nil"/>
              <w:bottom w:val="nil"/>
              <w:right w:val="nil"/>
            </w:tcBorders>
            <w:shd w:val="clear" w:color="auto" w:fill="auto"/>
            <w:noWrap/>
            <w:vAlign w:val="bottom"/>
            <w:hideMark/>
          </w:tcPr>
          <w:p w:rsidR="004C12B8" w:rsidRDefault="004C12B8" w:rsidP="004C12B8">
            <w:pPr>
              <w:jc w:val="left"/>
              <w:rPr>
                <w:rFonts w:ascii="Calibri" w:hAnsi="Calibri" w:cs="Arial"/>
                <w:lang w:eastAsia="en-GB"/>
              </w:rPr>
            </w:pPr>
          </w:p>
          <w:p w:rsidR="004C12B8" w:rsidRDefault="004C12B8" w:rsidP="004C12B8">
            <w:pPr>
              <w:jc w:val="left"/>
              <w:rPr>
                <w:rFonts w:ascii="Calibri" w:hAnsi="Calibri" w:cs="Arial"/>
                <w:lang w:eastAsia="en-GB"/>
              </w:rPr>
            </w:pPr>
          </w:p>
          <w:p w:rsidR="004C12B8" w:rsidRDefault="004C12B8" w:rsidP="004C12B8">
            <w:pPr>
              <w:jc w:val="left"/>
              <w:rPr>
                <w:rFonts w:ascii="Calibri" w:hAnsi="Calibri" w:cs="Arial"/>
                <w:lang w:eastAsia="en-GB"/>
              </w:rPr>
            </w:pPr>
          </w:p>
          <w:p w:rsidR="004C12B8" w:rsidRDefault="004C12B8" w:rsidP="004C12B8">
            <w:pPr>
              <w:jc w:val="left"/>
              <w:rPr>
                <w:rFonts w:ascii="Calibri" w:hAnsi="Calibri" w:cs="Arial"/>
                <w:lang w:eastAsia="en-GB"/>
              </w:rPr>
            </w:pPr>
          </w:p>
          <w:p w:rsidR="004C12B8" w:rsidRPr="006A44C0" w:rsidRDefault="004C12B8" w:rsidP="004C12B8">
            <w:pPr>
              <w:jc w:val="left"/>
              <w:rPr>
                <w:rFonts w:ascii="Calibri" w:hAnsi="Calibri" w:cs="Arial"/>
                <w:lang w:eastAsia="en-GB"/>
              </w:rPr>
            </w:pPr>
          </w:p>
        </w:tc>
        <w:tc>
          <w:tcPr>
            <w:tcW w:w="222"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222"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222"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393"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1514"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1553" w:type="dxa"/>
            <w:tcBorders>
              <w:top w:val="nil"/>
              <w:left w:val="nil"/>
              <w:bottom w:val="nil"/>
              <w:right w:val="nil"/>
            </w:tcBorders>
            <w:shd w:val="clear" w:color="auto" w:fill="auto"/>
            <w:noWrap/>
            <w:vAlign w:val="bottom"/>
            <w:hideMark/>
          </w:tcPr>
          <w:p w:rsidR="004C12B8" w:rsidRDefault="004C12B8" w:rsidP="004C12B8">
            <w:pPr>
              <w:jc w:val="left"/>
              <w:rPr>
                <w:rFonts w:ascii="Calibri" w:hAnsi="Calibri" w:cs="Arial"/>
                <w:lang w:eastAsia="en-GB"/>
              </w:rPr>
            </w:pPr>
          </w:p>
          <w:p w:rsidR="004C12B8" w:rsidRDefault="004C12B8" w:rsidP="004C12B8">
            <w:pPr>
              <w:jc w:val="left"/>
              <w:rPr>
                <w:rFonts w:ascii="Calibri" w:hAnsi="Calibri" w:cs="Arial"/>
                <w:lang w:eastAsia="en-GB"/>
              </w:rPr>
            </w:pPr>
          </w:p>
          <w:p w:rsidR="004C12B8" w:rsidRDefault="004C12B8" w:rsidP="004C12B8">
            <w:pPr>
              <w:jc w:val="left"/>
              <w:rPr>
                <w:rFonts w:ascii="Calibri" w:hAnsi="Calibri" w:cs="Arial"/>
                <w:lang w:eastAsia="en-GB"/>
              </w:rPr>
            </w:pPr>
          </w:p>
          <w:p w:rsidR="004C12B8" w:rsidRDefault="004C12B8" w:rsidP="004C12B8">
            <w:pPr>
              <w:jc w:val="left"/>
              <w:rPr>
                <w:rFonts w:ascii="Calibri" w:hAnsi="Calibri" w:cs="Arial"/>
                <w:lang w:eastAsia="en-GB"/>
              </w:rPr>
            </w:pPr>
          </w:p>
          <w:p w:rsidR="004C12B8" w:rsidRPr="006A44C0" w:rsidRDefault="004C12B8" w:rsidP="004C12B8">
            <w:pPr>
              <w:jc w:val="left"/>
              <w:rPr>
                <w:rFonts w:ascii="Calibri" w:hAnsi="Calibri" w:cs="Arial"/>
                <w:lang w:eastAsia="en-GB"/>
              </w:rPr>
            </w:pPr>
          </w:p>
        </w:tc>
        <w:tc>
          <w:tcPr>
            <w:tcW w:w="1495" w:type="dxa"/>
            <w:tcBorders>
              <w:top w:val="nil"/>
              <w:left w:val="nil"/>
              <w:bottom w:val="nil"/>
              <w:right w:val="nil"/>
            </w:tcBorders>
            <w:shd w:val="clear" w:color="auto" w:fill="auto"/>
            <w:noWrap/>
            <w:vAlign w:val="bottom"/>
            <w:hideMark/>
          </w:tcPr>
          <w:p w:rsidR="004C12B8" w:rsidRPr="006A44C0" w:rsidRDefault="004C12B8" w:rsidP="00E14A1B">
            <w:pPr>
              <w:jc w:val="right"/>
              <w:rPr>
                <w:rFonts w:ascii="Calibri" w:hAnsi="Calibri" w:cs="Arial"/>
                <w:b/>
                <w:bCs/>
                <w:lang w:eastAsia="en-GB"/>
              </w:rPr>
            </w:pPr>
            <w:r w:rsidRPr="006A44C0">
              <w:rPr>
                <w:rFonts w:ascii="Calibri" w:hAnsi="Calibri" w:cs="Arial"/>
                <w:b/>
                <w:bCs/>
                <w:lang w:eastAsia="en-GB"/>
              </w:rPr>
              <w:t>20</w:t>
            </w:r>
            <w:r w:rsidR="00E14A1B">
              <w:rPr>
                <w:rFonts w:ascii="Calibri" w:hAnsi="Calibri" w:cs="Arial"/>
                <w:b/>
                <w:bCs/>
                <w:lang w:eastAsia="en-GB"/>
              </w:rPr>
              <w:t>14</w:t>
            </w:r>
          </w:p>
        </w:tc>
        <w:tc>
          <w:tcPr>
            <w:tcW w:w="1495" w:type="dxa"/>
            <w:tcBorders>
              <w:top w:val="nil"/>
              <w:left w:val="nil"/>
              <w:bottom w:val="nil"/>
              <w:right w:val="nil"/>
            </w:tcBorders>
            <w:shd w:val="clear" w:color="auto" w:fill="auto"/>
            <w:noWrap/>
            <w:vAlign w:val="bottom"/>
            <w:hideMark/>
          </w:tcPr>
          <w:p w:rsidR="004C12B8" w:rsidRPr="006A44C0" w:rsidRDefault="00E14A1B" w:rsidP="004C12B8">
            <w:pPr>
              <w:jc w:val="right"/>
              <w:rPr>
                <w:rFonts w:ascii="Calibri" w:hAnsi="Calibri" w:cs="Arial"/>
                <w:b/>
                <w:bCs/>
                <w:lang w:eastAsia="en-GB"/>
              </w:rPr>
            </w:pPr>
            <w:r>
              <w:rPr>
                <w:rFonts w:ascii="Calibri" w:hAnsi="Calibri" w:cs="Arial"/>
                <w:b/>
                <w:bCs/>
                <w:lang w:eastAsia="en-GB"/>
              </w:rPr>
              <w:t>2013</w:t>
            </w:r>
          </w:p>
        </w:tc>
      </w:tr>
      <w:tr w:rsidR="004C12B8" w:rsidRPr="006A44C0" w:rsidTr="00E14A1B">
        <w:trPr>
          <w:trHeight w:val="234"/>
        </w:trPr>
        <w:tc>
          <w:tcPr>
            <w:tcW w:w="2458"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222"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222"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222"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393"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1514"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1553" w:type="dxa"/>
            <w:tcBorders>
              <w:top w:val="nil"/>
              <w:left w:val="nil"/>
              <w:bottom w:val="nil"/>
              <w:right w:val="nil"/>
            </w:tcBorders>
            <w:shd w:val="clear" w:color="auto" w:fill="auto"/>
            <w:noWrap/>
            <w:vAlign w:val="bottom"/>
            <w:hideMark/>
          </w:tcPr>
          <w:p w:rsidR="004C12B8" w:rsidRPr="006A44C0" w:rsidRDefault="004C12B8" w:rsidP="004C12B8">
            <w:pPr>
              <w:jc w:val="center"/>
              <w:rPr>
                <w:rFonts w:ascii="Calibri" w:hAnsi="Calibri" w:cs="Arial"/>
                <w:sz w:val="20"/>
                <w:szCs w:val="20"/>
                <w:lang w:eastAsia="en-GB"/>
              </w:rPr>
            </w:pPr>
          </w:p>
        </w:tc>
        <w:tc>
          <w:tcPr>
            <w:tcW w:w="1495" w:type="dxa"/>
            <w:tcBorders>
              <w:top w:val="nil"/>
              <w:left w:val="nil"/>
              <w:bottom w:val="nil"/>
              <w:right w:val="nil"/>
            </w:tcBorders>
            <w:shd w:val="clear" w:color="auto" w:fill="auto"/>
            <w:noWrap/>
            <w:vAlign w:val="bottom"/>
            <w:hideMark/>
          </w:tcPr>
          <w:p w:rsidR="004C12B8" w:rsidRPr="006A44C0" w:rsidRDefault="00E14A1B" w:rsidP="00E14A1B">
            <w:pPr>
              <w:jc w:val="right"/>
              <w:rPr>
                <w:rFonts w:ascii="Calibri" w:hAnsi="Calibri" w:cs="Arial"/>
                <w:b/>
                <w:bCs/>
                <w:lang w:eastAsia="en-GB"/>
              </w:rPr>
            </w:pPr>
            <w:r>
              <w:rPr>
                <w:rFonts w:ascii="Calibri" w:hAnsi="Calibri" w:cs="Arial"/>
                <w:b/>
                <w:bCs/>
                <w:lang w:eastAsia="en-GB"/>
              </w:rPr>
              <w:t>£'0</w:t>
            </w:r>
            <w:r w:rsidR="004C12B8" w:rsidRPr="006A44C0">
              <w:rPr>
                <w:rFonts w:ascii="Calibri" w:hAnsi="Calibri" w:cs="Arial"/>
                <w:b/>
                <w:bCs/>
                <w:lang w:eastAsia="en-GB"/>
              </w:rPr>
              <w:t>00</w:t>
            </w:r>
          </w:p>
        </w:tc>
        <w:tc>
          <w:tcPr>
            <w:tcW w:w="1495" w:type="dxa"/>
            <w:tcBorders>
              <w:top w:val="nil"/>
              <w:left w:val="nil"/>
              <w:bottom w:val="nil"/>
              <w:right w:val="nil"/>
            </w:tcBorders>
            <w:shd w:val="clear" w:color="auto" w:fill="auto"/>
            <w:noWrap/>
            <w:vAlign w:val="bottom"/>
            <w:hideMark/>
          </w:tcPr>
          <w:p w:rsidR="004C12B8" w:rsidRPr="006A44C0" w:rsidRDefault="004C12B8" w:rsidP="004C12B8">
            <w:pPr>
              <w:jc w:val="right"/>
              <w:rPr>
                <w:rFonts w:ascii="Calibri" w:hAnsi="Calibri" w:cs="Arial"/>
                <w:b/>
                <w:bCs/>
                <w:lang w:eastAsia="en-GB"/>
              </w:rPr>
            </w:pPr>
            <w:r w:rsidRPr="006A44C0">
              <w:rPr>
                <w:rFonts w:ascii="Calibri" w:hAnsi="Calibri" w:cs="Arial"/>
                <w:b/>
                <w:bCs/>
                <w:lang w:eastAsia="en-GB"/>
              </w:rPr>
              <w:t>£'000</w:t>
            </w:r>
          </w:p>
        </w:tc>
      </w:tr>
      <w:tr w:rsidR="004C12B8" w:rsidRPr="006A44C0" w:rsidTr="004C12B8">
        <w:trPr>
          <w:trHeight w:val="110"/>
        </w:trPr>
        <w:tc>
          <w:tcPr>
            <w:tcW w:w="6584" w:type="dxa"/>
            <w:gridSpan w:val="7"/>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b/>
                <w:bCs/>
                <w:lang w:eastAsia="en-GB"/>
              </w:rPr>
            </w:pPr>
            <w:r w:rsidRPr="006A44C0">
              <w:rPr>
                <w:rFonts w:ascii="Calibri" w:hAnsi="Calibri" w:cs="Arial"/>
                <w:b/>
                <w:bCs/>
                <w:lang w:eastAsia="en-GB"/>
              </w:rPr>
              <w:t xml:space="preserve">Consolidated Statement of Comprehensive Income </w:t>
            </w:r>
          </w:p>
        </w:tc>
        <w:tc>
          <w:tcPr>
            <w:tcW w:w="1495"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1495"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r>
      <w:tr w:rsidR="004C12B8" w:rsidRPr="006A44C0" w:rsidTr="004C12B8">
        <w:trPr>
          <w:trHeight w:val="110"/>
        </w:trPr>
        <w:tc>
          <w:tcPr>
            <w:tcW w:w="5031" w:type="dxa"/>
            <w:gridSpan w:val="6"/>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b/>
                <w:bCs/>
                <w:lang w:eastAsia="en-GB"/>
              </w:rPr>
            </w:pPr>
            <w:r w:rsidRPr="006A44C0">
              <w:rPr>
                <w:rFonts w:ascii="Calibri" w:hAnsi="Calibri" w:cs="Arial"/>
                <w:b/>
                <w:bCs/>
                <w:lang w:eastAsia="en-GB"/>
              </w:rPr>
              <w:t>for</w:t>
            </w:r>
            <w:r w:rsidR="005563FD">
              <w:rPr>
                <w:rFonts w:ascii="Calibri" w:hAnsi="Calibri" w:cs="Arial"/>
                <w:b/>
                <w:bCs/>
                <w:lang w:eastAsia="en-GB"/>
              </w:rPr>
              <w:t xml:space="preserve"> the year ended 31 December 2014</w:t>
            </w:r>
          </w:p>
        </w:tc>
        <w:tc>
          <w:tcPr>
            <w:tcW w:w="1553" w:type="dxa"/>
            <w:tcBorders>
              <w:top w:val="nil"/>
              <w:left w:val="nil"/>
              <w:bottom w:val="nil"/>
              <w:right w:val="nil"/>
            </w:tcBorders>
            <w:shd w:val="clear" w:color="auto" w:fill="auto"/>
            <w:noWrap/>
            <w:vAlign w:val="bottom"/>
            <w:hideMark/>
          </w:tcPr>
          <w:p w:rsidR="004C12B8" w:rsidRPr="006A44C0" w:rsidRDefault="004C12B8" w:rsidP="004C12B8">
            <w:pPr>
              <w:jc w:val="center"/>
              <w:rPr>
                <w:rFonts w:ascii="Calibri" w:hAnsi="Calibri" w:cs="Arial"/>
                <w:sz w:val="20"/>
                <w:szCs w:val="20"/>
                <w:lang w:eastAsia="en-GB"/>
              </w:rPr>
            </w:pPr>
          </w:p>
        </w:tc>
        <w:tc>
          <w:tcPr>
            <w:tcW w:w="1495"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1495"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r>
      <w:tr w:rsidR="004C12B8" w:rsidRPr="006A44C0" w:rsidTr="004C12B8">
        <w:trPr>
          <w:trHeight w:val="110"/>
        </w:trPr>
        <w:tc>
          <w:tcPr>
            <w:tcW w:w="2458"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222"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222"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222"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393"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1514"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1553" w:type="dxa"/>
            <w:tcBorders>
              <w:top w:val="nil"/>
              <w:left w:val="nil"/>
              <w:bottom w:val="nil"/>
              <w:right w:val="nil"/>
            </w:tcBorders>
            <w:shd w:val="clear" w:color="auto" w:fill="auto"/>
            <w:noWrap/>
            <w:vAlign w:val="bottom"/>
            <w:hideMark/>
          </w:tcPr>
          <w:p w:rsidR="004C12B8" w:rsidRPr="006A44C0" w:rsidRDefault="004C12B8" w:rsidP="004C12B8">
            <w:pPr>
              <w:jc w:val="center"/>
              <w:rPr>
                <w:rFonts w:ascii="Calibri" w:hAnsi="Calibri" w:cs="Arial"/>
                <w:sz w:val="20"/>
                <w:szCs w:val="20"/>
                <w:lang w:eastAsia="en-GB"/>
              </w:rPr>
            </w:pPr>
          </w:p>
        </w:tc>
        <w:tc>
          <w:tcPr>
            <w:tcW w:w="1495"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1495"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r>
      <w:tr w:rsidR="004C12B8" w:rsidRPr="006A44C0" w:rsidTr="004C12B8">
        <w:trPr>
          <w:trHeight w:val="116"/>
        </w:trPr>
        <w:tc>
          <w:tcPr>
            <w:tcW w:w="5031" w:type="dxa"/>
            <w:gridSpan w:val="6"/>
            <w:tcBorders>
              <w:top w:val="nil"/>
              <w:left w:val="nil"/>
              <w:bottom w:val="nil"/>
              <w:right w:val="nil"/>
            </w:tcBorders>
            <w:shd w:val="clear" w:color="auto" w:fill="auto"/>
            <w:noWrap/>
            <w:vAlign w:val="bottom"/>
            <w:hideMark/>
          </w:tcPr>
          <w:p w:rsidR="004C12B8" w:rsidRPr="006A44C0" w:rsidRDefault="005563FD" w:rsidP="005563FD">
            <w:pPr>
              <w:jc w:val="left"/>
              <w:rPr>
                <w:rFonts w:ascii="Calibri" w:hAnsi="Calibri" w:cs="Arial"/>
                <w:b/>
                <w:bCs/>
                <w:lang w:eastAsia="en-GB"/>
              </w:rPr>
            </w:pPr>
            <w:r>
              <w:rPr>
                <w:rFonts w:ascii="Calibri" w:hAnsi="Calibri" w:cs="Arial"/>
                <w:b/>
                <w:bCs/>
                <w:lang w:eastAsia="en-GB"/>
              </w:rPr>
              <w:t>Profit/(l</w:t>
            </w:r>
            <w:r w:rsidR="004C12B8" w:rsidRPr="006A44C0">
              <w:rPr>
                <w:rFonts w:ascii="Calibri" w:hAnsi="Calibri" w:cs="Arial"/>
                <w:b/>
                <w:bCs/>
                <w:lang w:eastAsia="en-GB"/>
              </w:rPr>
              <w:t>oss) for the financial year</w:t>
            </w:r>
          </w:p>
        </w:tc>
        <w:tc>
          <w:tcPr>
            <w:tcW w:w="1553" w:type="dxa"/>
            <w:tcBorders>
              <w:top w:val="nil"/>
              <w:left w:val="nil"/>
              <w:bottom w:val="nil"/>
              <w:right w:val="nil"/>
            </w:tcBorders>
            <w:shd w:val="clear" w:color="auto" w:fill="auto"/>
            <w:noWrap/>
            <w:vAlign w:val="bottom"/>
            <w:hideMark/>
          </w:tcPr>
          <w:p w:rsidR="004C12B8" w:rsidRPr="006A44C0" w:rsidRDefault="004C12B8" w:rsidP="004C12B8">
            <w:pPr>
              <w:jc w:val="center"/>
              <w:rPr>
                <w:rFonts w:ascii="Calibri" w:hAnsi="Calibri" w:cs="Arial"/>
                <w:sz w:val="20"/>
                <w:szCs w:val="20"/>
                <w:lang w:eastAsia="en-GB"/>
              </w:rPr>
            </w:pPr>
          </w:p>
        </w:tc>
        <w:tc>
          <w:tcPr>
            <w:tcW w:w="1495" w:type="dxa"/>
            <w:tcBorders>
              <w:top w:val="nil"/>
              <w:left w:val="nil"/>
              <w:bottom w:val="single" w:sz="8" w:space="0" w:color="auto"/>
              <w:right w:val="nil"/>
            </w:tcBorders>
            <w:shd w:val="clear" w:color="auto" w:fill="auto"/>
            <w:noWrap/>
            <w:vAlign w:val="bottom"/>
            <w:hideMark/>
          </w:tcPr>
          <w:p w:rsidR="004C12B8" w:rsidRPr="006A44C0" w:rsidRDefault="005563FD" w:rsidP="004C12B8">
            <w:pPr>
              <w:jc w:val="right"/>
              <w:rPr>
                <w:rFonts w:ascii="Calibri" w:hAnsi="Calibri" w:cs="Arial"/>
                <w:lang w:eastAsia="en-GB"/>
              </w:rPr>
            </w:pPr>
            <w:r>
              <w:rPr>
                <w:rFonts w:ascii="Calibri" w:hAnsi="Calibri" w:cs="Arial"/>
                <w:lang w:eastAsia="en-GB"/>
              </w:rPr>
              <w:t>2,201</w:t>
            </w:r>
          </w:p>
        </w:tc>
        <w:tc>
          <w:tcPr>
            <w:tcW w:w="1495" w:type="dxa"/>
            <w:tcBorders>
              <w:top w:val="nil"/>
              <w:left w:val="nil"/>
              <w:bottom w:val="single" w:sz="8" w:space="0" w:color="auto"/>
              <w:right w:val="nil"/>
            </w:tcBorders>
            <w:shd w:val="clear" w:color="auto" w:fill="auto"/>
            <w:noWrap/>
            <w:vAlign w:val="bottom"/>
            <w:hideMark/>
          </w:tcPr>
          <w:p w:rsidR="004C12B8" w:rsidRPr="006A44C0" w:rsidRDefault="005563FD" w:rsidP="004C12B8">
            <w:pPr>
              <w:jc w:val="right"/>
              <w:rPr>
                <w:rFonts w:ascii="Calibri" w:hAnsi="Calibri" w:cs="Arial"/>
                <w:lang w:eastAsia="en-GB"/>
              </w:rPr>
            </w:pPr>
            <w:r>
              <w:rPr>
                <w:rFonts w:ascii="Calibri" w:hAnsi="Calibri" w:cs="Arial"/>
                <w:lang w:eastAsia="en-GB"/>
              </w:rPr>
              <w:t>(1,548)</w:t>
            </w:r>
            <w:r w:rsidR="004C12B8" w:rsidRPr="006A44C0">
              <w:rPr>
                <w:rFonts w:ascii="Calibri" w:hAnsi="Calibri" w:cs="Arial"/>
                <w:lang w:eastAsia="en-GB"/>
              </w:rPr>
              <w:t xml:space="preserve"> </w:t>
            </w:r>
          </w:p>
        </w:tc>
      </w:tr>
      <w:tr w:rsidR="004C12B8" w:rsidRPr="006A44C0" w:rsidTr="004C12B8">
        <w:trPr>
          <w:trHeight w:val="110"/>
        </w:trPr>
        <w:tc>
          <w:tcPr>
            <w:tcW w:w="2458"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222"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222"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222"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393"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1514"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1553" w:type="dxa"/>
            <w:tcBorders>
              <w:top w:val="nil"/>
              <w:left w:val="nil"/>
              <w:bottom w:val="nil"/>
              <w:right w:val="nil"/>
            </w:tcBorders>
            <w:shd w:val="clear" w:color="auto" w:fill="auto"/>
            <w:noWrap/>
            <w:vAlign w:val="bottom"/>
            <w:hideMark/>
          </w:tcPr>
          <w:p w:rsidR="004C12B8" w:rsidRPr="006A44C0" w:rsidRDefault="004C12B8" w:rsidP="004C12B8">
            <w:pPr>
              <w:jc w:val="center"/>
              <w:rPr>
                <w:rFonts w:ascii="Calibri" w:hAnsi="Calibri" w:cs="Arial"/>
                <w:sz w:val="20"/>
                <w:szCs w:val="20"/>
                <w:lang w:eastAsia="en-GB"/>
              </w:rPr>
            </w:pPr>
          </w:p>
        </w:tc>
        <w:tc>
          <w:tcPr>
            <w:tcW w:w="1495"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1495"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r>
      <w:tr w:rsidR="004C12B8" w:rsidRPr="006A44C0" w:rsidTr="004C12B8">
        <w:trPr>
          <w:trHeight w:val="110"/>
        </w:trPr>
        <w:tc>
          <w:tcPr>
            <w:tcW w:w="5031" w:type="dxa"/>
            <w:gridSpan w:val="6"/>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b/>
                <w:bCs/>
                <w:lang w:eastAsia="en-GB"/>
              </w:rPr>
            </w:pPr>
            <w:r w:rsidRPr="006A44C0">
              <w:rPr>
                <w:rFonts w:ascii="Calibri" w:hAnsi="Calibri" w:cs="Arial"/>
                <w:b/>
                <w:bCs/>
                <w:lang w:eastAsia="en-GB"/>
              </w:rPr>
              <w:t>Other comprehensive income:</w:t>
            </w:r>
          </w:p>
        </w:tc>
        <w:tc>
          <w:tcPr>
            <w:tcW w:w="1553" w:type="dxa"/>
            <w:tcBorders>
              <w:top w:val="nil"/>
              <w:left w:val="nil"/>
              <w:bottom w:val="nil"/>
              <w:right w:val="nil"/>
            </w:tcBorders>
            <w:shd w:val="clear" w:color="auto" w:fill="auto"/>
            <w:noWrap/>
            <w:vAlign w:val="bottom"/>
            <w:hideMark/>
          </w:tcPr>
          <w:p w:rsidR="004C12B8" w:rsidRPr="006A44C0" w:rsidRDefault="004C12B8" w:rsidP="004C12B8">
            <w:pPr>
              <w:jc w:val="center"/>
              <w:rPr>
                <w:rFonts w:ascii="Calibri" w:hAnsi="Calibri" w:cs="Arial"/>
                <w:sz w:val="20"/>
                <w:szCs w:val="20"/>
                <w:lang w:eastAsia="en-GB"/>
              </w:rPr>
            </w:pPr>
          </w:p>
        </w:tc>
        <w:tc>
          <w:tcPr>
            <w:tcW w:w="1495"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1495"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r>
      <w:tr w:rsidR="005563FD" w:rsidRPr="006A44C0" w:rsidTr="003B1B2D">
        <w:trPr>
          <w:trHeight w:val="110"/>
        </w:trPr>
        <w:tc>
          <w:tcPr>
            <w:tcW w:w="8079" w:type="dxa"/>
            <w:gridSpan w:val="8"/>
            <w:tcBorders>
              <w:top w:val="nil"/>
              <w:left w:val="nil"/>
              <w:bottom w:val="nil"/>
              <w:right w:val="nil"/>
            </w:tcBorders>
            <w:shd w:val="clear" w:color="auto" w:fill="auto"/>
            <w:noWrap/>
            <w:vAlign w:val="bottom"/>
          </w:tcPr>
          <w:p w:rsidR="005563FD" w:rsidRPr="006A44C0" w:rsidRDefault="005563FD" w:rsidP="004C12B8">
            <w:pPr>
              <w:jc w:val="left"/>
              <w:rPr>
                <w:rFonts w:ascii="Calibri" w:hAnsi="Calibri" w:cs="Arial"/>
                <w:lang w:eastAsia="en-GB"/>
              </w:rPr>
            </w:pPr>
            <w:r w:rsidRPr="00387232">
              <w:rPr>
                <w:rFonts w:ascii="Calibri" w:hAnsi="Calibri" w:cs="Arial"/>
                <w:bCs/>
                <w:lang w:eastAsia="en-GB"/>
              </w:rPr>
              <w:t>Items which will not subsequently be reclassified to profit or loss</w:t>
            </w:r>
          </w:p>
        </w:tc>
        <w:tc>
          <w:tcPr>
            <w:tcW w:w="1495" w:type="dxa"/>
            <w:tcBorders>
              <w:top w:val="nil"/>
              <w:left w:val="nil"/>
              <w:bottom w:val="nil"/>
              <w:right w:val="nil"/>
            </w:tcBorders>
            <w:shd w:val="clear" w:color="auto" w:fill="auto"/>
            <w:noWrap/>
            <w:vAlign w:val="bottom"/>
          </w:tcPr>
          <w:p w:rsidR="005563FD" w:rsidRPr="006A44C0" w:rsidRDefault="005563FD" w:rsidP="004C12B8">
            <w:pPr>
              <w:jc w:val="left"/>
              <w:rPr>
                <w:rFonts w:ascii="Calibri" w:hAnsi="Calibri" w:cs="Arial"/>
                <w:lang w:eastAsia="en-GB"/>
              </w:rPr>
            </w:pPr>
          </w:p>
        </w:tc>
      </w:tr>
      <w:tr w:rsidR="004C12B8" w:rsidRPr="006A44C0" w:rsidTr="004C12B8">
        <w:trPr>
          <w:trHeight w:val="110"/>
        </w:trPr>
        <w:tc>
          <w:tcPr>
            <w:tcW w:w="2458"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222"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222"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222"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393"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1514"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1553" w:type="dxa"/>
            <w:tcBorders>
              <w:top w:val="nil"/>
              <w:left w:val="nil"/>
              <w:bottom w:val="nil"/>
              <w:right w:val="nil"/>
            </w:tcBorders>
            <w:shd w:val="clear" w:color="auto" w:fill="auto"/>
            <w:noWrap/>
            <w:vAlign w:val="bottom"/>
            <w:hideMark/>
          </w:tcPr>
          <w:p w:rsidR="004C12B8" w:rsidRPr="006A44C0" w:rsidRDefault="004C12B8" w:rsidP="004C12B8">
            <w:pPr>
              <w:jc w:val="center"/>
              <w:rPr>
                <w:rFonts w:ascii="Calibri" w:hAnsi="Calibri" w:cs="Arial"/>
                <w:sz w:val="20"/>
                <w:szCs w:val="20"/>
                <w:lang w:eastAsia="en-GB"/>
              </w:rPr>
            </w:pPr>
          </w:p>
        </w:tc>
        <w:tc>
          <w:tcPr>
            <w:tcW w:w="1495"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1495"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r>
      <w:tr w:rsidR="004C12B8" w:rsidRPr="006A44C0" w:rsidTr="004C12B8">
        <w:trPr>
          <w:trHeight w:val="110"/>
        </w:trPr>
        <w:tc>
          <w:tcPr>
            <w:tcW w:w="5031" w:type="dxa"/>
            <w:gridSpan w:val="6"/>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r w:rsidRPr="006A44C0">
              <w:rPr>
                <w:rFonts w:ascii="Calibri" w:hAnsi="Calibri" w:cs="Arial"/>
                <w:lang w:eastAsia="en-GB"/>
              </w:rPr>
              <w:t xml:space="preserve">Revaluation </w:t>
            </w:r>
            <w:r>
              <w:rPr>
                <w:rFonts w:ascii="Calibri" w:hAnsi="Calibri" w:cs="Arial"/>
                <w:lang w:eastAsia="en-GB"/>
              </w:rPr>
              <w:t xml:space="preserve">surplus </w:t>
            </w:r>
            <w:r w:rsidRPr="006A44C0">
              <w:rPr>
                <w:rFonts w:ascii="Calibri" w:hAnsi="Calibri" w:cs="Arial"/>
                <w:lang w:eastAsia="en-GB"/>
              </w:rPr>
              <w:t>of property, plant and equipment</w:t>
            </w:r>
          </w:p>
        </w:tc>
        <w:tc>
          <w:tcPr>
            <w:tcW w:w="1553" w:type="dxa"/>
            <w:tcBorders>
              <w:top w:val="nil"/>
              <w:left w:val="nil"/>
              <w:bottom w:val="nil"/>
              <w:right w:val="nil"/>
            </w:tcBorders>
            <w:shd w:val="clear" w:color="auto" w:fill="auto"/>
            <w:noWrap/>
            <w:vAlign w:val="bottom"/>
            <w:hideMark/>
          </w:tcPr>
          <w:p w:rsidR="004C12B8" w:rsidRPr="006A44C0" w:rsidRDefault="004C12B8" w:rsidP="004C12B8">
            <w:pPr>
              <w:jc w:val="center"/>
              <w:rPr>
                <w:rFonts w:ascii="Calibri" w:hAnsi="Calibri" w:cs="Arial"/>
                <w:sz w:val="20"/>
                <w:szCs w:val="20"/>
                <w:lang w:eastAsia="en-GB"/>
              </w:rPr>
            </w:pPr>
          </w:p>
        </w:tc>
        <w:tc>
          <w:tcPr>
            <w:tcW w:w="1495" w:type="dxa"/>
            <w:tcBorders>
              <w:top w:val="nil"/>
              <w:left w:val="nil"/>
              <w:bottom w:val="nil"/>
              <w:right w:val="nil"/>
            </w:tcBorders>
            <w:shd w:val="clear" w:color="auto" w:fill="auto"/>
            <w:noWrap/>
            <w:vAlign w:val="bottom"/>
            <w:hideMark/>
          </w:tcPr>
          <w:p w:rsidR="004C12B8" w:rsidRPr="006A44C0" w:rsidRDefault="004C12B8" w:rsidP="005563FD">
            <w:pPr>
              <w:jc w:val="right"/>
              <w:rPr>
                <w:rFonts w:ascii="Calibri" w:hAnsi="Calibri" w:cs="Arial"/>
                <w:lang w:eastAsia="en-GB"/>
              </w:rPr>
            </w:pPr>
            <w:r w:rsidRPr="006A44C0">
              <w:rPr>
                <w:rFonts w:ascii="Calibri" w:hAnsi="Calibri" w:cs="Arial"/>
                <w:lang w:eastAsia="en-GB"/>
              </w:rPr>
              <w:t xml:space="preserve">              </w:t>
            </w:r>
            <w:r w:rsidR="005563FD">
              <w:rPr>
                <w:rFonts w:ascii="Calibri" w:hAnsi="Calibri" w:cs="Arial"/>
                <w:lang w:eastAsia="en-GB"/>
              </w:rPr>
              <w:t>-</w:t>
            </w:r>
            <w:r w:rsidRPr="006A44C0">
              <w:rPr>
                <w:rFonts w:ascii="Calibri" w:hAnsi="Calibri" w:cs="Arial"/>
                <w:lang w:eastAsia="en-GB"/>
              </w:rPr>
              <w:t xml:space="preserve"> </w:t>
            </w:r>
          </w:p>
        </w:tc>
        <w:tc>
          <w:tcPr>
            <w:tcW w:w="1495" w:type="dxa"/>
            <w:tcBorders>
              <w:top w:val="nil"/>
              <w:left w:val="nil"/>
              <w:bottom w:val="nil"/>
              <w:right w:val="nil"/>
            </w:tcBorders>
            <w:shd w:val="clear" w:color="auto" w:fill="auto"/>
            <w:noWrap/>
            <w:vAlign w:val="bottom"/>
            <w:hideMark/>
          </w:tcPr>
          <w:p w:rsidR="004C12B8" w:rsidRPr="006A44C0" w:rsidRDefault="004C12B8" w:rsidP="005563FD">
            <w:pPr>
              <w:jc w:val="right"/>
              <w:rPr>
                <w:rFonts w:ascii="Calibri" w:hAnsi="Calibri" w:cs="Arial"/>
                <w:lang w:eastAsia="en-GB"/>
              </w:rPr>
            </w:pPr>
            <w:r w:rsidRPr="006A44C0">
              <w:rPr>
                <w:rFonts w:ascii="Calibri" w:hAnsi="Calibri" w:cs="Arial"/>
                <w:lang w:eastAsia="en-GB"/>
              </w:rPr>
              <w:t xml:space="preserve">                    </w:t>
            </w:r>
            <w:r w:rsidR="005563FD">
              <w:rPr>
                <w:rFonts w:ascii="Calibri" w:hAnsi="Calibri" w:cs="Arial"/>
                <w:lang w:eastAsia="en-GB"/>
              </w:rPr>
              <w:t>3,500</w:t>
            </w:r>
          </w:p>
        </w:tc>
      </w:tr>
      <w:tr w:rsidR="004C12B8" w:rsidRPr="006A44C0" w:rsidTr="004C12B8">
        <w:trPr>
          <w:trHeight w:val="110"/>
        </w:trPr>
        <w:tc>
          <w:tcPr>
            <w:tcW w:w="5031" w:type="dxa"/>
            <w:gridSpan w:val="6"/>
            <w:tcBorders>
              <w:top w:val="nil"/>
              <w:left w:val="nil"/>
              <w:bottom w:val="nil"/>
              <w:right w:val="nil"/>
            </w:tcBorders>
            <w:shd w:val="clear" w:color="auto" w:fill="auto"/>
            <w:noWrap/>
            <w:vAlign w:val="bottom"/>
          </w:tcPr>
          <w:p w:rsidR="004C12B8" w:rsidRPr="006A44C0" w:rsidRDefault="004C12B8" w:rsidP="004C12B8">
            <w:pPr>
              <w:jc w:val="left"/>
              <w:rPr>
                <w:rFonts w:ascii="Calibri" w:hAnsi="Calibri" w:cs="Arial"/>
                <w:lang w:eastAsia="en-GB"/>
              </w:rPr>
            </w:pPr>
            <w:r w:rsidRPr="006A44C0">
              <w:rPr>
                <w:rFonts w:ascii="Calibri" w:hAnsi="Calibri" w:cs="Arial"/>
                <w:lang w:eastAsia="en-GB"/>
              </w:rPr>
              <w:t>Revaluation of property, plant and equipment</w:t>
            </w:r>
          </w:p>
        </w:tc>
        <w:tc>
          <w:tcPr>
            <w:tcW w:w="1553" w:type="dxa"/>
            <w:tcBorders>
              <w:top w:val="nil"/>
              <w:left w:val="nil"/>
              <w:bottom w:val="nil"/>
              <w:right w:val="nil"/>
            </w:tcBorders>
            <w:shd w:val="clear" w:color="auto" w:fill="auto"/>
            <w:noWrap/>
            <w:vAlign w:val="bottom"/>
          </w:tcPr>
          <w:p w:rsidR="004C12B8" w:rsidRPr="006A44C0" w:rsidRDefault="004C12B8" w:rsidP="004C12B8">
            <w:pPr>
              <w:jc w:val="center"/>
              <w:rPr>
                <w:rFonts w:ascii="Calibri" w:hAnsi="Calibri" w:cs="Arial"/>
                <w:sz w:val="20"/>
                <w:szCs w:val="20"/>
                <w:lang w:eastAsia="en-GB"/>
              </w:rPr>
            </w:pPr>
          </w:p>
        </w:tc>
        <w:tc>
          <w:tcPr>
            <w:tcW w:w="1495" w:type="dxa"/>
            <w:tcBorders>
              <w:top w:val="nil"/>
              <w:left w:val="nil"/>
              <w:bottom w:val="nil"/>
              <w:right w:val="nil"/>
            </w:tcBorders>
            <w:shd w:val="clear" w:color="auto" w:fill="auto"/>
            <w:noWrap/>
            <w:vAlign w:val="bottom"/>
          </w:tcPr>
          <w:p w:rsidR="004C12B8" w:rsidRPr="006A44C0" w:rsidRDefault="00E14A1B" w:rsidP="00E14A1B">
            <w:pPr>
              <w:jc w:val="right"/>
              <w:rPr>
                <w:rFonts w:ascii="Calibri" w:hAnsi="Calibri" w:cs="Arial"/>
                <w:lang w:eastAsia="en-GB"/>
              </w:rPr>
            </w:pPr>
            <w:r>
              <w:rPr>
                <w:rFonts w:ascii="Calibri" w:hAnsi="Calibri" w:cs="Arial"/>
                <w:lang w:eastAsia="en-GB"/>
              </w:rPr>
              <w:t>(1,000)</w:t>
            </w:r>
          </w:p>
        </w:tc>
        <w:tc>
          <w:tcPr>
            <w:tcW w:w="1495" w:type="dxa"/>
            <w:tcBorders>
              <w:top w:val="nil"/>
              <w:left w:val="nil"/>
              <w:bottom w:val="nil"/>
              <w:right w:val="nil"/>
            </w:tcBorders>
            <w:shd w:val="clear" w:color="auto" w:fill="auto"/>
            <w:noWrap/>
            <w:vAlign w:val="bottom"/>
          </w:tcPr>
          <w:p w:rsidR="004C12B8" w:rsidRPr="006A44C0" w:rsidRDefault="00E14A1B" w:rsidP="004C12B8">
            <w:pPr>
              <w:jc w:val="right"/>
              <w:rPr>
                <w:rFonts w:ascii="Calibri" w:hAnsi="Calibri" w:cs="Arial"/>
                <w:lang w:eastAsia="en-GB"/>
              </w:rPr>
            </w:pPr>
            <w:r>
              <w:rPr>
                <w:rFonts w:ascii="Calibri" w:hAnsi="Calibri" w:cs="Arial"/>
                <w:lang w:eastAsia="en-GB"/>
              </w:rPr>
              <w:t>(2,0</w:t>
            </w:r>
            <w:r w:rsidR="004C12B8">
              <w:rPr>
                <w:rFonts w:ascii="Calibri" w:hAnsi="Calibri" w:cs="Arial"/>
                <w:lang w:eastAsia="en-GB"/>
              </w:rPr>
              <w:t>00)</w:t>
            </w:r>
          </w:p>
        </w:tc>
      </w:tr>
      <w:tr w:rsidR="004C12B8" w:rsidRPr="006A44C0" w:rsidTr="004C12B8">
        <w:trPr>
          <w:trHeight w:val="110"/>
        </w:trPr>
        <w:tc>
          <w:tcPr>
            <w:tcW w:w="5031" w:type="dxa"/>
            <w:gridSpan w:val="6"/>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r w:rsidRPr="006A44C0">
              <w:rPr>
                <w:rFonts w:ascii="Calibri" w:hAnsi="Calibri" w:cs="Arial"/>
                <w:lang w:eastAsia="en-GB"/>
              </w:rPr>
              <w:t>Deferred tax on revaluation movement</w:t>
            </w:r>
          </w:p>
        </w:tc>
        <w:tc>
          <w:tcPr>
            <w:tcW w:w="1553" w:type="dxa"/>
            <w:tcBorders>
              <w:top w:val="nil"/>
              <w:left w:val="nil"/>
              <w:bottom w:val="nil"/>
              <w:right w:val="nil"/>
            </w:tcBorders>
            <w:shd w:val="clear" w:color="auto" w:fill="auto"/>
            <w:noWrap/>
            <w:vAlign w:val="bottom"/>
            <w:hideMark/>
          </w:tcPr>
          <w:p w:rsidR="004C12B8" w:rsidRPr="006A44C0" w:rsidRDefault="004C12B8" w:rsidP="004C12B8">
            <w:pPr>
              <w:jc w:val="center"/>
              <w:rPr>
                <w:rFonts w:ascii="Calibri" w:hAnsi="Calibri" w:cs="Arial"/>
                <w:sz w:val="20"/>
                <w:szCs w:val="20"/>
                <w:lang w:eastAsia="en-GB"/>
              </w:rPr>
            </w:pPr>
          </w:p>
        </w:tc>
        <w:tc>
          <w:tcPr>
            <w:tcW w:w="1495" w:type="dxa"/>
            <w:tcBorders>
              <w:top w:val="nil"/>
              <w:left w:val="nil"/>
              <w:bottom w:val="nil"/>
              <w:right w:val="nil"/>
            </w:tcBorders>
            <w:shd w:val="clear" w:color="auto" w:fill="auto"/>
            <w:noWrap/>
            <w:vAlign w:val="bottom"/>
            <w:hideMark/>
          </w:tcPr>
          <w:p w:rsidR="004C12B8" w:rsidRPr="006A44C0" w:rsidRDefault="00E14A1B" w:rsidP="00E14A1B">
            <w:pPr>
              <w:jc w:val="right"/>
              <w:rPr>
                <w:rFonts w:ascii="Calibri" w:hAnsi="Calibri" w:cs="Arial"/>
                <w:lang w:eastAsia="en-GB"/>
              </w:rPr>
            </w:pPr>
            <w:r>
              <w:rPr>
                <w:rFonts w:ascii="Calibri" w:hAnsi="Calibri" w:cs="Arial"/>
                <w:lang w:eastAsia="en-GB"/>
              </w:rPr>
              <w:t>(128)</w:t>
            </w:r>
          </w:p>
        </w:tc>
        <w:tc>
          <w:tcPr>
            <w:tcW w:w="1495" w:type="dxa"/>
            <w:tcBorders>
              <w:top w:val="nil"/>
              <w:left w:val="nil"/>
              <w:bottom w:val="nil"/>
              <w:right w:val="nil"/>
            </w:tcBorders>
            <w:shd w:val="clear" w:color="auto" w:fill="auto"/>
            <w:noWrap/>
            <w:vAlign w:val="bottom"/>
            <w:hideMark/>
          </w:tcPr>
          <w:p w:rsidR="004C12B8" w:rsidRPr="006A44C0" w:rsidRDefault="00E14A1B" w:rsidP="00E14A1B">
            <w:pPr>
              <w:jc w:val="right"/>
              <w:rPr>
                <w:rFonts w:ascii="Calibri" w:hAnsi="Calibri" w:cs="Arial"/>
                <w:lang w:eastAsia="en-GB"/>
              </w:rPr>
            </w:pPr>
            <w:r>
              <w:rPr>
                <w:rFonts w:ascii="Calibri" w:hAnsi="Calibri" w:cs="Arial"/>
                <w:lang w:eastAsia="en-GB"/>
              </w:rPr>
              <w:t>415</w:t>
            </w:r>
          </w:p>
        </w:tc>
      </w:tr>
      <w:tr w:rsidR="004C12B8" w:rsidRPr="006A44C0" w:rsidTr="004C12B8">
        <w:trPr>
          <w:trHeight w:val="110"/>
        </w:trPr>
        <w:tc>
          <w:tcPr>
            <w:tcW w:w="2458"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222"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222"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222"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393"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1514"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1553" w:type="dxa"/>
            <w:tcBorders>
              <w:top w:val="nil"/>
              <w:left w:val="nil"/>
              <w:bottom w:val="nil"/>
              <w:right w:val="nil"/>
            </w:tcBorders>
            <w:shd w:val="clear" w:color="auto" w:fill="auto"/>
            <w:noWrap/>
            <w:vAlign w:val="bottom"/>
            <w:hideMark/>
          </w:tcPr>
          <w:p w:rsidR="004C12B8" w:rsidRPr="006A44C0" w:rsidRDefault="004C12B8" w:rsidP="004C12B8">
            <w:pPr>
              <w:jc w:val="center"/>
              <w:rPr>
                <w:rFonts w:ascii="Calibri" w:hAnsi="Calibri" w:cs="Arial"/>
                <w:sz w:val="20"/>
                <w:szCs w:val="20"/>
                <w:lang w:eastAsia="en-GB"/>
              </w:rPr>
            </w:pPr>
          </w:p>
        </w:tc>
        <w:tc>
          <w:tcPr>
            <w:tcW w:w="1495"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1495"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r>
      <w:tr w:rsidR="004C12B8" w:rsidRPr="006A44C0" w:rsidTr="004C12B8">
        <w:trPr>
          <w:trHeight w:val="116"/>
        </w:trPr>
        <w:tc>
          <w:tcPr>
            <w:tcW w:w="2458"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222"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222"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222"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393"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1514"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1553" w:type="dxa"/>
            <w:tcBorders>
              <w:top w:val="nil"/>
              <w:left w:val="nil"/>
              <w:bottom w:val="nil"/>
              <w:right w:val="nil"/>
            </w:tcBorders>
            <w:shd w:val="clear" w:color="auto" w:fill="auto"/>
            <w:noWrap/>
            <w:vAlign w:val="bottom"/>
            <w:hideMark/>
          </w:tcPr>
          <w:p w:rsidR="004C12B8" w:rsidRPr="006A44C0" w:rsidRDefault="004C12B8" w:rsidP="004C12B8">
            <w:pPr>
              <w:jc w:val="center"/>
              <w:rPr>
                <w:rFonts w:ascii="Calibri" w:hAnsi="Calibri" w:cs="Arial"/>
                <w:sz w:val="20"/>
                <w:szCs w:val="20"/>
                <w:lang w:eastAsia="en-GB"/>
              </w:rPr>
            </w:pPr>
          </w:p>
        </w:tc>
        <w:tc>
          <w:tcPr>
            <w:tcW w:w="1495" w:type="dxa"/>
            <w:tcBorders>
              <w:top w:val="single" w:sz="4" w:space="0" w:color="auto"/>
              <w:left w:val="nil"/>
              <w:bottom w:val="single" w:sz="8" w:space="0" w:color="auto"/>
              <w:right w:val="nil"/>
            </w:tcBorders>
            <w:shd w:val="clear" w:color="auto" w:fill="auto"/>
            <w:noWrap/>
            <w:vAlign w:val="bottom"/>
            <w:hideMark/>
          </w:tcPr>
          <w:p w:rsidR="004C12B8" w:rsidRPr="006A44C0" w:rsidRDefault="004C12B8" w:rsidP="00E14A1B">
            <w:pPr>
              <w:jc w:val="right"/>
              <w:rPr>
                <w:rFonts w:ascii="Calibri" w:hAnsi="Calibri" w:cs="Arial"/>
                <w:lang w:eastAsia="en-GB"/>
              </w:rPr>
            </w:pPr>
            <w:r w:rsidRPr="006A44C0">
              <w:rPr>
                <w:rFonts w:ascii="Calibri" w:hAnsi="Calibri" w:cs="Arial"/>
                <w:lang w:eastAsia="en-GB"/>
              </w:rPr>
              <w:t xml:space="preserve">              </w:t>
            </w:r>
            <w:r w:rsidR="00E14A1B">
              <w:rPr>
                <w:rFonts w:ascii="Calibri" w:hAnsi="Calibri" w:cs="Arial"/>
                <w:lang w:eastAsia="en-GB"/>
              </w:rPr>
              <w:t>(1,128)</w:t>
            </w:r>
            <w:r w:rsidRPr="006A44C0">
              <w:rPr>
                <w:rFonts w:ascii="Calibri" w:hAnsi="Calibri" w:cs="Arial"/>
                <w:lang w:eastAsia="en-GB"/>
              </w:rPr>
              <w:t xml:space="preserve"> </w:t>
            </w:r>
          </w:p>
        </w:tc>
        <w:tc>
          <w:tcPr>
            <w:tcW w:w="1495" w:type="dxa"/>
            <w:tcBorders>
              <w:top w:val="single" w:sz="4" w:space="0" w:color="auto"/>
              <w:left w:val="nil"/>
              <w:bottom w:val="single" w:sz="8" w:space="0" w:color="auto"/>
              <w:right w:val="nil"/>
            </w:tcBorders>
            <w:shd w:val="clear" w:color="auto" w:fill="auto"/>
            <w:noWrap/>
            <w:vAlign w:val="bottom"/>
            <w:hideMark/>
          </w:tcPr>
          <w:p w:rsidR="004C12B8" w:rsidRPr="006A44C0" w:rsidRDefault="00E14A1B" w:rsidP="004C12B8">
            <w:pPr>
              <w:jc w:val="right"/>
              <w:rPr>
                <w:rFonts w:ascii="Calibri" w:hAnsi="Calibri" w:cs="Arial"/>
                <w:lang w:eastAsia="en-GB"/>
              </w:rPr>
            </w:pPr>
            <w:r>
              <w:rPr>
                <w:rFonts w:ascii="Calibri" w:hAnsi="Calibri" w:cs="Arial"/>
                <w:lang w:eastAsia="en-GB"/>
              </w:rPr>
              <w:t>1,915</w:t>
            </w:r>
          </w:p>
        </w:tc>
      </w:tr>
      <w:tr w:rsidR="004C12B8" w:rsidRPr="006A44C0" w:rsidTr="004C12B8">
        <w:trPr>
          <w:trHeight w:val="110"/>
        </w:trPr>
        <w:tc>
          <w:tcPr>
            <w:tcW w:w="2458"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222"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222"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222"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393"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1514"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1553" w:type="dxa"/>
            <w:tcBorders>
              <w:top w:val="nil"/>
              <w:left w:val="nil"/>
              <w:bottom w:val="nil"/>
              <w:right w:val="nil"/>
            </w:tcBorders>
            <w:shd w:val="clear" w:color="auto" w:fill="auto"/>
            <w:noWrap/>
            <w:vAlign w:val="bottom"/>
            <w:hideMark/>
          </w:tcPr>
          <w:p w:rsidR="004C12B8" w:rsidRPr="006A44C0" w:rsidRDefault="004C12B8" w:rsidP="004C12B8">
            <w:pPr>
              <w:jc w:val="center"/>
              <w:rPr>
                <w:rFonts w:ascii="Calibri" w:hAnsi="Calibri" w:cs="Arial"/>
                <w:sz w:val="20"/>
                <w:szCs w:val="20"/>
                <w:lang w:eastAsia="en-GB"/>
              </w:rPr>
            </w:pPr>
          </w:p>
        </w:tc>
        <w:tc>
          <w:tcPr>
            <w:tcW w:w="1495"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1495"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r>
      <w:tr w:rsidR="004C12B8" w:rsidRPr="006A44C0" w:rsidTr="004C12B8">
        <w:trPr>
          <w:trHeight w:val="116"/>
        </w:trPr>
        <w:tc>
          <w:tcPr>
            <w:tcW w:w="5031" w:type="dxa"/>
            <w:gridSpan w:val="6"/>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b/>
                <w:bCs/>
                <w:lang w:eastAsia="en-GB"/>
              </w:rPr>
            </w:pPr>
            <w:r w:rsidRPr="006A44C0">
              <w:rPr>
                <w:rFonts w:ascii="Calibri" w:hAnsi="Calibri" w:cs="Arial"/>
                <w:b/>
                <w:bCs/>
                <w:lang w:eastAsia="en-GB"/>
              </w:rPr>
              <w:t>Total comprehensive profit for the year</w:t>
            </w:r>
          </w:p>
        </w:tc>
        <w:tc>
          <w:tcPr>
            <w:tcW w:w="1553" w:type="dxa"/>
            <w:tcBorders>
              <w:top w:val="nil"/>
              <w:left w:val="nil"/>
              <w:bottom w:val="nil"/>
              <w:right w:val="nil"/>
            </w:tcBorders>
            <w:shd w:val="clear" w:color="auto" w:fill="auto"/>
            <w:noWrap/>
            <w:vAlign w:val="bottom"/>
            <w:hideMark/>
          </w:tcPr>
          <w:p w:rsidR="004C12B8" w:rsidRPr="006A44C0" w:rsidRDefault="004C12B8" w:rsidP="004C12B8">
            <w:pPr>
              <w:jc w:val="left"/>
              <w:rPr>
                <w:rFonts w:ascii="Calibri" w:hAnsi="Calibri" w:cs="Arial"/>
                <w:lang w:eastAsia="en-GB"/>
              </w:rPr>
            </w:pPr>
          </w:p>
        </w:tc>
        <w:tc>
          <w:tcPr>
            <w:tcW w:w="1495" w:type="dxa"/>
            <w:tcBorders>
              <w:top w:val="nil"/>
              <w:left w:val="nil"/>
              <w:bottom w:val="single" w:sz="8" w:space="0" w:color="auto"/>
              <w:right w:val="nil"/>
            </w:tcBorders>
            <w:shd w:val="clear" w:color="auto" w:fill="auto"/>
            <w:noWrap/>
            <w:vAlign w:val="bottom"/>
            <w:hideMark/>
          </w:tcPr>
          <w:p w:rsidR="004C12B8" w:rsidRPr="006A44C0" w:rsidRDefault="00E14A1B" w:rsidP="004C12B8">
            <w:pPr>
              <w:jc w:val="right"/>
              <w:rPr>
                <w:rFonts w:ascii="Calibri" w:hAnsi="Calibri" w:cs="Arial"/>
                <w:lang w:eastAsia="en-GB"/>
              </w:rPr>
            </w:pPr>
            <w:r>
              <w:rPr>
                <w:rFonts w:ascii="Calibri" w:hAnsi="Calibri" w:cs="Arial"/>
                <w:lang w:eastAsia="en-GB"/>
              </w:rPr>
              <w:t>1,073</w:t>
            </w:r>
            <w:r w:rsidR="004C12B8" w:rsidRPr="006A44C0">
              <w:rPr>
                <w:rFonts w:ascii="Calibri" w:hAnsi="Calibri" w:cs="Arial"/>
                <w:lang w:eastAsia="en-GB"/>
              </w:rPr>
              <w:t xml:space="preserve"> </w:t>
            </w:r>
          </w:p>
        </w:tc>
        <w:tc>
          <w:tcPr>
            <w:tcW w:w="1495" w:type="dxa"/>
            <w:tcBorders>
              <w:top w:val="nil"/>
              <w:left w:val="nil"/>
              <w:bottom w:val="single" w:sz="8" w:space="0" w:color="auto"/>
              <w:right w:val="nil"/>
            </w:tcBorders>
            <w:shd w:val="clear" w:color="auto" w:fill="auto"/>
            <w:noWrap/>
            <w:vAlign w:val="bottom"/>
            <w:hideMark/>
          </w:tcPr>
          <w:p w:rsidR="004C12B8" w:rsidRPr="006A44C0" w:rsidRDefault="00E14A1B" w:rsidP="004C12B8">
            <w:pPr>
              <w:jc w:val="right"/>
              <w:rPr>
                <w:rFonts w:ascii="Calibri" w:hAnsi="Calibri" w:cs="Arial"/>
                <w:lang w:eastAsia="en-GB"/>
              </w:rPr>
            </w:pPr>
            <w:r>
              <w:rPr>
                <w:rFonts w:ascii="Calibri" w:hAnsi="Calibri" w:cs="Arial"/>
                <w:lang w:eastAsia="en-GB"/>
              </w:rPr>
              <w:t>367</w:t>
            </w:r>
          </w:p>
        </w:tc>
      </w:tr>
    </w:tbl>
    <w:p w:rsidR="004C12B8" w:rsidRPr="00DE2AC3" w:rsidRDefault="004C12B8">
      <w:pPr>
        <w:jc w:val="left"/>
        <w:rPr>
          <w:rFonts w:asciiTheme="minorHAnsi" w:hAnsiTheme="minorHAnsi" w:cs="Arial"/>
          <w:b/>
          <w:bCs/>
          <w:color w:val="000000"/>
          <w:sz w:val="20"/>
          <w:szCs w:val="20"/>
          <w:lang w:eastAsia="en-GB"/>
        </w:rPr>
      </w:pPr>
    </w:p>
    <w:p w:rsidR="000825E9" w:rsidRPr="00DE2AC3" w:rsidRDefault="000825E9">
      <w:pPr>
        <w:jc w:val="left"/>
        <w:rPr>
          <w:rFonts w:asciiTheme="minorHAnsi" w:hAnsiTheme="minorHAnsi" w:cs="Arial"/>
          <w:b/>
          <w:bCs/>
          <w:color w:val="000000"/>
          <w:sz w:val="20"/>
          <w:szCs w:val="20"/>
          <w:lang w:eastAsia="en-GB"/>
        </w:rPr>
      </w:pPr>
    </w:p>
    <w:p w:rsidR="000825E9" w:rsidRPr="00DE2AC3" w:rsidRDefault="000825E9">
      <w:pPr>
        <w:jc w:val="left"/>
        <w:rPr>
          <w:rFonts w:asciiTheme="minorHAnsi" w:hAnsiTheme="minorHAnsi" w:cs="Arial"/>
          <w:b/>
          <w:bCs/>
          <w:color w:val="000000"/>
          <w:sz w:val="20"/>
          <w:szCs w:val="20"/>
          <w:lang w:eastAsia="en-GB"/>
        </w:rPr>
      </w:pPr>
    </w:p>
    <w:p w:rsidR="000825E9" w:rsidRPr="00DE2AC3" w:rsidRDefault="000825E9">
      <w:pPr>
        <w:jc w:val="left"/>
        <w:rPr>
          <w:rFonts w:asciiTheme="minorHAnsi" w:hAnsiTheme="minorHAnsi" w:cs="Arial"/>
          <w:b/>
          <w:bCs/>
          <w:color w:val="000000"/>
          <w:sz w:val="20"/>
          <w:szCs w:val="20"/>
          <w:lang w:eastAsia="en-GB"/>
        </w:rPr>
      </w:pPr>
    </w:p>
    <w:p w:rsidR="000825E9" w:rsidRPr="00DE2AC3" w:rsidRDefault="000825E9">
      <w:pPr>
        <w:jc w:val="left"/>
        <w:rPr>
          <w:rFonts w:asciiTheme="minorHAnsi" w:hAnsiTheme="minorHAnsi" w:cs="Arial"/>
          <w:b/>
          <w:bCs/>
          <w:color w:val="000000"/>
          <w:sz w:val="20"/>
          <w:szCs w:val="20"/>
          <w:lang w:eastAsia="en-GB"/>
        </w:rPr>
      </w:pPr>
    </w:p>
    <w:p w:rsidR="000825E9" w:rsidRPr="00DE2AC3" w:rsidRDefault="000825E9">
      <w:pPr>
        <w:jc w:val="left"/>
        <w:rPr>
          <w:rFonts w:asciiTheme="minorHAnsi" w:hAnsiTheme="minorHAnsi" w:cs="Arial"/>
          <w:b/>
          <w:bCs/>
          <w:color w:val="000000"/>
          <w:sz w:val="20"/>
          <w:szCs w:val="20"/>
          <w:lang w:eastAsia="en-GB"/>
        </w:rPr>
      </w:pPr>
    </w:p>
    <w:p w:rsidR="000825E9" w:rsidRPr="00DE2AC3" w:rsidRDefault="000825E9">
      <w:pPr>
        <w:jc w:val="left"/>
        <w:rPr>
          <w:rFonts w:asciiTheme="minorHAnsi" w:hAnsiTheme="minorHAnsi" w:cs="Arial"/>
          <w:b/>
          <w:bCs/>
          <w:color w:val="000000"/>
          <w:sz w:val="20"/>
          <w:szCs w:val="20"/>
          <w:lang w:eastAsia="en-GB"/>
        </w:rPr>
      </w:pPr>
    </w:p>
    <w:tbl>
      <w:tblPr>
        <w:tblW w:w="9854" w:type="dxa"/>
        <w:tblInd w:w="108" w:type="dxa"/>
        <w:tblLook w:val="04A0" w:firstRow="1" w:lastRow="0" w:firstColumn="1" w:lastColumn="0" w:noHBand="0" w:noVBand="1"/>
      </w:tblPr>
      <w:tblGrid>
        <w:gridCol w:w="2753"/>
        <w:gridCol w:w="367"/>
        <w:gridCol w:w="366"/>
        <w:gridCol w:w="366"/>
        <w:gridCol w:w="367"/>
        <w:gridCol w:w="662"/>
        <w:gridCol w:w="1217"/>
        <w:gridCol w:w="222"/>
        <w:gridCol w:w="1192"/>
        <w:gridCol w:w="1146"/>
        <w:gridCol w:w="1196"/>
      </w:tblGrid>
      <w:tr w:rsidR="004C12B8" w:rsidRPr="006A44C0" w:rsidTr="00E14A1B">
        <w:trPr>
          <w:divId w:val="1690330271"/>
          <w:trHeight w:val="378"/>
        </w:trPr>
        <w:tc>
          <w:tcPr>
            <w:tcW w:w="4881" w:type="dxa"/>
            <w:gridSpan w:val="6"/>
            <w:tcBorders>
              <w:top w:val="nil"/>
              <w:left w:val="nil"/>
              <w:bottom w:val="nil"/>
              <w:right w:val="nil"/>
            </w:tcBorders>
            <w:shd w:val="clear" w:color="auto" w:fill="auto"/>
            <w:noWrap/>
            <w:vAlign w:val="bottom"/>
          </w:tcPr>
          <w:p w:rsidR="004C12B8" w:rsidRPr="006A44C0" w:rsidRDefault="004C12B8" w:rsidP="006A44C0">
            <w:pPr>
              <w:jc w:val="left"/>
              <w:rPr>
                <w:rFonts w:ascii="Calibri" w:hAnsi="Calibri" w:cs="Arial"/>
                <w:b/>
                <w:bCs/>
                <w:lang w:eastAsia="en-GB"/>
              </w:rPr>
            </w:pPr>
          </w:p>
        </w:tc>
        <w:tc>
          <w:tcPr>
            <w:tcW w:w="1217" w:type="dxa"/>
            <w:tcBorders>
              <w:top w:val="nil"/>
              <w:left w:val="nil"/>
              <w:bottom w:val="nil"/>
              <w:right w:val="nil"/>
            </w:tcBorders>
            <w:shd w:val="clear" w:color="auto" w:fill="auto"/>
            <w:noWrap/>
            <w:vAlign w:val="bottom"/>
            <w:hideMark/>
          </w:tcPr>
          <w:p w:rsidR="004C12B8" w:rsidRPr="006A44C0" w:rsidRDefault="004C12B8" w:rsidP="006A44C0">
            <w:pPr>
              <w:jc w:val="left"/>
              <w:rPr>
                <w:rFonts w:ascii="Calibri" w:hAnsi="Calibri" w:cs="Arial"/>
                <w:lang w:eastAsia="en-GB"/>
              </w:rPr>
            </w:pPr>
          </w:p>
        </w:tc>
        <w:tc>
          <w:tcPr>
            <w:tcW w:w="222" w:type="dxa"/>
            <w:tcBorders>
              <w:top w:val="nil"/>
              <w:left w:val="nil"/>
              <w:bottom w:val="nil"/>
              <w:right w:val="nil"/>
            </w:tcBorders>
          </w:tcPr>
          <w:p w:rsidR="004C12B8" w:rsidRPr="006A44C0" w:rsidRDefault="004C12B8" w:rsidP="006A44C0">
            <w:pPr>
              <w:jc w:val="left"/>
              <w:rPr>
                <w:rFonts w:ascii="Calibri" w:hAnsi="Calibri" w:cs="Arial"/>
                <w:lang w:eastAsia="en-GB"/>
              </w:rPr>
            </w:pPr>
          </w:p>
        </w:tc>
        <w:tc>
          <w:tcPr>
            <w:tcW w:w="1192" w:type="dxa"/>
            <w:tcBorders>
              <w:top w:val="nil"/>
              <w:left w:val="nil"/>
              <w:bottom w:val="nil"/>
              <w:right w:val="nil"/>
            </w:tcBorders>
            <w:shd w:val="clear" w:color="auto" w:fill="auto"/>
            <w:noWrap/>
            <w:vAlign w:val="bottom"/>
            <w:hideMark/>
          </w:tcPr>
          <w:p w:rsidR="004C12B8" w:rsidRPr="006A44C0" w:rsidRDefault="004C12B8" w:rsidP="006A44C0">
            <w:pPr>
              <w:jc w:val="left"/>
              <w:rPr>
                <w:rFonts w:ascii="Calibri" w:hAnsi="Calibri" w:cs="Arial"/>
                <w:lang w:eastAsia="en-GB"/>
              </w:rPr>
            </w:pPr>
          </w:p>
        </w:tc>
        <w:tc>
          <w:tcPr>
            <w:tcW w:w="1146" w:type="dxa"/>
            <w:tcBorders>
              <w:top w:val="nil"/>
              <w:left w:val="nil"/>
              <w:bottom w:val="nil"/>
              <w:right w:val="nil"/>
            </w:tcBorders>
            <w:shd w:val="clear" w:color="auto" w:fill="auto"/>
            <w:noWrap/>
            <w:vAlign w:val="bottom"/>
            <w:hideMark/>
          </w:tcPr>
          <w:p w:rsidR="004C12B8" w:rsidRPr="006A44C0" w:rsidRDefault="004C12B8" w:rsidP="006A44C0">
            <w:pPr>
              <w:jc w:val="left"/>
              <w:rPr>
                <w:rFonts w:ascii="Calibri" w:hAnsi="Calibri" w:cs="Arial"/>
                <w:lang w:eastAsia="en-GB"/>
              </w:rPr>
            </w:pPr>
          </w:p>
        </w:tc>
        <w:tc>
          <w:tcPr>
            <w:tcW w:w="1196" w:type="dxa"/>
            <w:tcBorders>
              <w:top w:val="nil"/>
              <w:left w:val="nil"/>
              <w:bottom w:val="nil"/>
              <w:right w:val="nil"/>
            </w:tcBorders>
            <w:shd w:val="clear" w:color="auto" w:fill="auto"/>
            <w:noWrap/>
            <w:vAlign w:val="bottom"/>
            <w:hideMark/>
          </w:tcPr>
          <w:p w:rsidR="004C12B8" w:rsidRPr="006A44C0" w:rsidRDefault="004C12B8" w:rsidP="006A44C0">
            <w:pPr>
              <w:jc w:val="left"/>
              <w:rPr>
                <w:rFonts w:ascii="Calibri" w:hAnsi="Calibri" w:cs="Arial"/>
                <w:lang w:eastAsia="en-GB"/>
              </w:rPr>
            </w:pPr>
          </w:p>
        </w:tc>
      </w:tr>
      <w:tr w:rsidR="004C12B8" w:rsidRPr="006A44C0" w:rsidTr="004C12B8">
        <w:trPr>
          <w:divId w:val="1690330271"/>
          <w:trHeight w:val="318"/>
        </w:trPr>
        <w:tc>
          <w:tcPr>
            <w:tcW w:w="2753" w:type="dxa"/>
            <w:tcBorders>
              <w:left w:val="nil"/>
              <w:bottom w:val="nil"/>
              <w:right w:val="nil"/>
            </w:tcBorders>
            <w:shd w:val="clear" w:color="auto" w:fill="auto"/>
            <w:noWrap/>
            <w:vAlign w:val="bottom"/>
          </w:tcPr>
          <w:p w:rsidR="004C12B8" w:rsidRDefault="004C12B8" w:rsidP="006A44C0">
            <w:pPr>
              <w:jc w:val="left"/>
              <w:rPr>
                <w:rFonts w:ascii="Calibri" w:hAnsi="Calibri" w:cs="Arial"/>
                <w:lang w:eastAsia="en-GB"/>
              </w:rPr>
            </w:pPr>
          </w:p>
          <w:p w:rsidR="004C12B8" w:rsidRDefault="004C12B8" w:rsidP="006A44C0">
            <w:pPr>
              <w:jc w:val="left"/>
              <w:rPr>
                <w:rFonts w:ascii="Calibri" w:hAnsi="Calibri" w:cs="Arial"/>
                <w:lang w:eastAsia="en-GB"/>
              </w:rPr>
            </w:pPr>
          </w:p>
          <w:p w:rsidR="004C12B8" w:rsidRDefault="004C12B8" w:rsidP="006A44C0">
            <w:pPr>
              <w:jc w:val="left"/>
              <w:rPr>
                <w:rFonts w:ascii="Calibri" w:hAnsi="Calibri" w:cs="Arial"/>
                <w:lang w:eastAsia="en-GB"/>
              </w:rPr>
            </w:pPr>
          </w:p>
          <w:p w:rsidR="004C12B8" w:rsidRDefault="004C12B8" w:rsidP="006A44C0">
            <w:pPr>
              <w:jc w:val="left"/>
              <w:rPr>
                <w:rFonts w:ascii="Calibri" w:hAnsi="Calibri" w:cs="Arial"/>
                <w:lang w:eastAsia="en-GB"/>
              </w:rPr>
            </w:pPr>
          </w:p>
          <w:p w:rsidR="004C12B8" w:rsidRDefault="004C12B8" w:rsidP="006A44C0">
            <w:pPr>
              <w:jc w:val="left"/>
              <w:rPr>
                <w:rFonts w:ascii="Calibri" w:hAnsi="Calibri" w:cs="Arial"/>
                <w:lang w:eastAsia="en-GB"/>
              </w:rPr>
            </w:pPr>
          </w:p>
          <w:p w:rsidR="004C12B8" w:rsidRPr="006A44C0" w:rsidRDefault="004C12B8" w:rsidP="006A44C0">
            <w:pPr>
              <w:jc w:val="left"/>
              <w:rPr>
                <w:rFonts w:ascii="Calibri" w:hAnsi="Calibri" w:cs="Arial"/>
                <w:lang w:eastAsia="en-GB"/>
              </w:rPr>
            </w:pPr>
          </w:p>
        </w:tc>
        <w:tc>
          <w:tcPr>
            <w:tcW w:w="367" w:type="dxa"/>
            <w:tcBorders>
              <w:left w:val="nil"/>
              <w:bottom w:val="nil"/>
              <w:right w:val="nil"/>
            </w:tcBorders>
            <w:shd w:val="clear" w:color="auto" w:fill="auto"/>
            <w:noWrap/>
            <w:vAlign w:val="bottom"/>
          </w:tcPr>
          <w:p w:rsidR="004C12B8" w:rsidRPr="006A44C0" w:rsidRDefault="004C12B8" w:rsidP="006A44C0">
            <w:pPr>
              <w:jc w:val="left"/>
              <w:rPr>
                <w:rFonts w:ascii="Calibri" w:hAnsi="Calibri" w:cs="Arial"/>
                <w:lang w:eastAsia="en-GB"/>
              </w:rPr>
            </w:pPr>
          </w:p>
        </w:tc>
        <w:tc>
          <w:tcPr>
            <w:tcW w:w="366" w:type="dxa"/>
            <w:tcBorders>
              <w:left w:val="nil"/>
              <w:bottom w:val="nil"/>
              <w:right w:val="nil"/>
            </w:tcBorders>
            <w:shd w:val="clear" w:color="auto" w:fill="auto"/>
            <w:noWrap/>
            <w:vAlign w:val="bottom"/>
          </w:tcPr>
          <w:p w:rsidR="004C12B8" w:rsidRPr="006A44C0" w:rsidRDefault="004C12B8" w:rsidP="006A44C0">
            <w:pPr>
              <w:jc w:val="center"/>
              <w:rPr>
                <w:rFonts w:ascii="Calibri" w:hAnsi="Calibri" w:cs="Arial"/>
                <w:sz w:val="20"/>
                <w:szCs w:val="20"/>
                <w:lang w:eastAsia="en-GB"/>
              </w:rPr>
            </w:pPr>
          </w:p>
        </w:tc>
        <w:tc>
          <w:tcPr>
            <w:tcW w:w="366" w:type="dxa"/>
            <w:tcBorders>
              <w:left w:val="nil"/>
              <w:bottom w:val="nil"/>
              <w:right w:val="nil"/>
            </w:tcBorders>
            <w:shd w:val="clear" w:color="auto" w:fill="auto"/>
            <w:noWrap/>
            <w:vAlign w:val="bottom"/>
          </w:tcPr>
          <w:p w:rsidR="004C12B8" w:rsidRPr="006A44C0" w:rsidRDefault="004C12B8" w:rsidP="006A44C0">
            <w:pPr>
              <w:jc w:val="left"/>
              <w:rPr>
                <w:rFonts w:ascii="Calibri" w:hAnsi="Calibri" w:cs="Arial"/>
                <w:lang w:eastAsia="en-GB"/>
              </w:rPr>
            </w:pPr>
          </w:p>
        </w:tc>
        <w:tc>
          <w:tcPr>
            <w:tcW w:w="367" w:type="dxa"/>
            <w:tcBorders>
              <w:left w:val="nil"/>
              <w:bottom w:val="nil"/>
              <w:right w:val="nil"/>
            </w:tcBorders>
            <w:shd w:val="clear" w:color="auto" w:fill="auto"/>
            <w:noWrap/>
            <w:vAlign w:val="bottom"/>
          </w:tcPr>
          <w:p w:rsidR="004C12B8" w:rsidRPr="006A44C0" w:rsidRDefault="004C12B8" w:rsidP="006A44C0">
            <w:pPr>
              <w:jc w:val="left"/>
              <w:rPr>
                <w:rFonts w:ascii="Calibri" w:hAnsi="Calibri" w:cs="Arial"/>
                <w:lang w:eastAsia="en-GB"/>
              </w:rPr>
            </w:pPr>
          </w:p>
        </w:tc>
        <w:tc>
          <w:tcPr>
            <w:tcW w:w="662" w:type="dxa"/>
            <w:tcBorders>
              <w:left w:val="nil"/>
              <w:bottom w:val="nil"/>
              <w:right w:val="nil"/>
            </w:tcBorders>
            <w:shd w:val="clear" w:color="auto" w:fill="auto"/>
            <w:noWrap/>
            <w:vAlign w:val="bottom"/>
            <w:hideMark/>
          </w:tcPr>
          <w:p w:rsidR="004C12B8" w:rsidRPr="006A44C0" w:rsidRDefault="004C12B8" w:rsidP="006A44C0">
            <w:pPr>
              <w:jc w:val="left"/>
              <w:rPr>
                <w:rFonts w:ascii="Calibri" w:hAnsi="Calibri" w:cs="Arial"/>
                <w:lang w:eastAsia="en-GB"/>
              </w:rPr>
            </w:pPr>
          </w:p>
        </w:tc>
        <w:tc>
          <w:tcPr>
            <w:tcW w:w="1217" w:type="dxa"/>
            <w:tcBorders>
              <w:left w:val="nil"/>
              <w:bottom w:val="nil"/>
              <w:right w:val="nil"/>
            </w:tcBorders>
            <w:shd w:val="clear" w:color="auto" w:fill="auto"/>
            <w:noWrap/>
            <w:vAlign w:val="bottom"/>
            <w:hideMark/>
          </w:tcPr>
          <w:p w:rsidR="004C12B8" w:rsidRPr="006A44C0" w:rsidRDefault="004C12B8" w:rsidP="006A44C0">
            <w:pPr>
              <w:jc w:val="left"/>
              <w:rPr>
                <w:rFonts w:ascii="Calibri" w:hAnsi="Calibri" w:cs="Arial"/>
                <w:lang w:eastAsia="en-GB"/>
              </w:rPr>
            </w:pPr>
          </w:p>
        </w:tc>
        <w:tc>
          <w:tcPr>
            <w:tcW w:w="222" w:type="dxa"/>
            <w:tcBorders>
              <w:left w:val="nil"/>
              <w:bottom w:val="nil"/>
              <w:right w:val="nil"/>
            </w:tcBorders>
          </w:tcPr>
          <w:p w:rsidR="004C12B8" w:rsidRPr="006A44C0" w:rsidRDefault="004C12B8" w:rsidP="006A44C0">
            <w:pPr>
              <w:jc w:val="left"/>
              <w:rPr>
                <w:rFonts w:ascii="Calibri" w:hAnsi="Calibri" w:cs="Arial"/>
                <w:lang w:eastAsia="en-GB"/>
              </w:rPr>
            </w:pPr>
          </w:p>
        </w:tc>
        <w:tc>
          <w:tcPr>
            <w:tcW w:w="1192" w:type="dxa"/>
            <w:tcBorders>
              <w:left w:val="nil"/>
              <w:bottom w:val="nil"/>
              <w:right w:val="nil"/>
            </w:tcBorders>
            <w:shd w:val="clear" w:color="auto" w:fill="auto"/>
            <w:noWrap/>
            <w:vAlign w:val="bottom"/>
            <w:hideMark/>
          </w:tcPr>
          <w:p w:rsidR="004C12B8" w:rsidRPr="006A44C0" w:rsidRDefault="004C12B8" w:rsidP="006A44C0">
            <w:pPr>
              <w:jc w:val="left"/>
              <w:rPr>
                <w:rFonts w:ascii="Calibri" w:hAnsi="Calibri" w:cs="Arial"/>
                <w:lang w:eastAsia="en-GB"/>
              </w:rPr>
            </w:pPr>
          </w:p>
        </w:tc>
        <w:tc>
          <w:tcPr>
            <w:tcW w:w="1146" w:type="dxa"/>
            <w:tcBorders>
              <w:left w:val="nil"/>
              <w:bottom w:val="nil"/>
              <w:right w:val="nil"/>
            </w:tcBorders>
            <w:shd w:val="clear" w:color="auto" w:fill="auto"/>
            <w:noWrap/>
            <w:vAlign w:val="bottom"/>
            <w:hideMark/>
          </w:tcPr>
          <w:p w:rsidR="004C12B8" w:rsidRPr="006A44C0" w:rsidRDefault="004C12B8" w:rsidP="006A44C0">
            <w:pPr>
              <w:jc w:val="left"/>
              <w:rPr>
                <w:rFonts w:ascii="Calibri" w:hAnsi="Calibri" w:cs="Arial"/>
                <w:lang w:eastAsia="en-GB"/>
              </w:rPr>
            </w:pPr>
          </w:p>
        </w:tc>
        <w:tc>
          <w:tcPr>
            <w:tcW w:w="1196" w:type="dxa"/>
            <w:tcBorders>
              <w:left w:val="nil"/>
              <w:bottom w:val="nil"/>
              <w:right w:val="nil"/>
            </w:tcBorders>
            <w:shd w:val="clear" w:color="auto" w:fill="auto"/>
            <w:noWrap/>
            <w:vAlign w:val="bottom"/>
            <w:hideMark/>
          </w:tcPr>
          <w:p w:rsidR="004C12B8" w:rsidRPr="006A44C0" w:rsidRDefault="004C12B8" w:rsidP="006A44C0">
            <w:pPr>
              <w:jc w:val="left"/>
              <w:rPr>
                <w:rFonts w:ascii="Calibri" w:hAnsi="Calibri" w:cs="Arial"/>
                <w:lang w:eastAsia="en-GB"/>
              </w:rPr>
            </w:pPr>
          </w:p>
        </w:tc>
      </w:tr>
    </w:tbl>
    <w:tbl>
      <w:tblPr>
        <w:tblpPr w:leftFromText="180" w:rightFromText="180" w:vertAnchor="text" w:horzAnchor="margin" w:tblpY="-9558"/>
        <w:tblW w:w="9574" w:type="dxa"/>
        <w:tblLook w:val="04A0" w:firstRow="1" w:lastRow="0" w:firstColumn="1" w:lastColumn="0" w:noHBand="0" w:noVBand="1"/>
      </w:tblPr>
      <w:tblGrid>
        <w:gridCol w:w="2458"/>
        <w:gridCol w:w="222"/>
        <w:gridCol w:w="222"/>
        <w:gridCol w:w="222"/>
        <w:gridCol w:w="393"/>
        <w:gridCol w:w="1514"/>
        <w:gridCol w:w="1553"/>
        <w:gridCol w:w="1495"/>
        <w:gridCol w:w="1495"/>
      </w:tblGrid>
      <w:tr w:rsidR="006A44C0" w:rsidRPr="006A44C0" w:rsidTr="004C12B8">
        <w:trPr>
          <w:trHeight w:val="110"/>
        </w:trPr>
        <w:tc>
          <w:tcPr>
            <w:tcW w:w="2458" w:type="dxa"/>
            <w:tcBorders>
              <w:top w:val="nil"/>
              <w:left w:val="nil"/>
              <w:bottom w:val="nil"/>
              <w:right w:val="nil"/>
            </w:tcBorders>
            <w:shd w:val="clear" w:color="auto" w:fill="auto"/>
            <w:noWrap/>
            <w:vAlign w:val="bottom"/>
          </w:tcPr>
          <w:p w:rsidR="006A44C0" w:rsidRPr="006A44C0" w:rsidRDefault="006A44C0" w:rsidP="006A44C0">
            <w:pPr>
              <w:jc w:val="left"/>
              <w:rPr>
                <w:rFonts w:ascii="Calibri" w:hAnsi="Calibri" w:cs="Arial"/>
                <w:lang w:eastAsia="en-GB"/>
              </w:rPr>
            </w:pPr>
          </w:p>
        </w:tc>
        <w:tc>
          <w:tcPr>
            <w:tcW w:w="222" w:type="dxa"/>
            <w:tcBorders>
              <w:top w:val="nil"/>
              <w:left w:val="nil"/>
              <w:bottom w:val="nil"/>
              <w:right w:val="nil"/>
            </w:tcBorders>
            <w:shd w:val="clear" w:color="auto" w:fill="auto"/>
            <w:noWrap/>
            <w:vAlign w:val="bottom"/>
          </w:tcPr>
          <w:p w:rsidR="006A44C0" w:rsidRPr="006A44C0" w:rsidRDefault="006A44C0" w:rsidP="006A44C0">
            <w:pPr>
              <w:jc w:val="left"/>
              <w:rPr>
                <w:rFonts w:ascii="Calibri" w:hAnsi="Calibri" w:cs="Arial"/>
                <w:lang w:eastAsia="en-GB"/>
              </w:rPr>
            </w:pPr>
          </w:p>
        </w:tc>
        <w:tc>
          <w:tcPr>
            <w:tcW w:w="222" w:type="dxa"/>
            <w:tcBorders>
              <w:top w:val="nil"/>
              <w:left w:val="nil"/>
              <w:bottom w:val="nil"/>
              <w:right w:val="nil"/>
            </w:tcBorders>
            <w:shd w:val="clear" w:color="auto" w:fill="auto"/>
            <w:noWrap/>
            <w:vAlign w:val="bottom"/>
          </w:tcPr>
          <w:p w:rsidR="006A44C0" w:rsidRPr="006A44C0" w:rsidRDefault="006A44C0" w:rsidP="006A44C0">
            <w:pPr>
              <w:jc w:val="left"/>
              <w:rPr>
                <w:rFonts w:ascii="Calibri" w:hAnsi="Calibri" w:cs="Arial"/>
                <w:lang w:eastAsia="en-GB"/>
              </w:rPr>
            </w:pPr>
          </w:p>
        </w:tc>
        <w:tc>
          <w:tcPr>
            <w:tcW w:w="222" w:type="dxa"/>
            <w:tcBorders>
              <w:top w:val="nil"/>
              <w:left w:val="nil"/>
              <w:bottom w:val="nil"/>
              <w:right w:val="nil"/>
            </w:tcBorders>
            <w:shd w:val="clear" w:color="auto" w:fill="auto"/>
            <w:noWrap/>
            <w:vAlign w:val="bottom"/>
          </w:tcPr>
          <w:p w:rsidR="006A44C0" w:rsidRPr="006A44C0" w:rsidRDefault="006A44C0" w:rsidP="006A44C0">
            <w:pPr>
              <w:jc w:val="left"/>
              <w:rPr>
                <w:rFonts w:ascii="Calibri" w:hAnsi="Calibri" w:cs="Arial"/>
                <w:lang w:eastAsia="en-GB"/>
              </w:rPr>
            </w:pPr>
          </w:p>
        </w:tc>
        <w:tc>
          <w:tcPr>
            <w:tcW w:w="393" w:type="dxa"/>
            <w:tcBorders>
              <w:top w:val="nil"/>
              <w:left w:val="nil"/>
              <w:bottom w:val="nil"/>
              <w:right w:val="nil"/>
            </w:tcBorders>
            <w:shd w:val="clear" w:color="auto" w:fill="auto"/>
            <w:noWrap/>
            <w:vAlign w:val="bottom"/>
          </w:tcPr>
          <w:p w:rsidR="006A44C0" w:rsidRPr="006A44C0" w:rsidRDefault="006A44C0" w:rsidP="006A44C0">
            <w:pPr>
              <w:jc w:val="left"/>
              <w:rPr>
                <w:rFonts w:ascii="Calibri" w:hAnsi="Calibri" w:cs="Arial"/>
                <w:lang w:eastAsia="en-GB"/>
              </w:rPr>
            </w:pPr>
          </w:p>
        </w:tc>
        <w:tc>
          <w:tcPr>
            <w:tcW w:w="1514" w:type="dxa"/>
            <w:tcBorders>
              <w:top w:val="nil"/>
              <w:left w:val="nil"/>
              <w:bottom w:val="nil"/>
              <w:right w:val="nil"/>
            </w:tcBorders>
            <w:shd w:val="clear" w:color="auto" w:fill="auto"/>
            <w:noWrap/>
            <w:vAlign w:val="bottom"/>
          </w:tcPr>
          <w:p w:rsidR="006A44C0" w:rsidRPr="006A44C0" w:rsidRDefault="006A44C0" w:rsidP="006A44C0">
            <w:pPr>
              <w:jc w:val="left"/>
              <w:rPr>
                <w:rFonts w:ascii="Calibri" w:hAnsi="Calibri" w:cs="Arial"/>
                <w:lang w:eastAsia="en-GB"/>
              </w:rPr>
            </w:pPr>
          </w:p>
        </w:tc>
        <w:tc>
          <w:tcPr>
            <w:tcW w:w="1553" w:type="dxa"/>
            <w:tcBorders>
              <w:top w:val="nil"/>
              <w:left w:val="nil"/>
              <w:bottom w:val="nil"/>
              <w:right w:val="nil"/>
            </w:tcBorders>
            <w:shd w:val="clear" w:color="auto" w:fill="auto"/>
            <w:noWrap/>
            <w:vAlign w:val="bottom"/>
          </w:tcPr>
          <w:p w:rsidR="006A44C0" w:rsidRPr="006A44C0" w:rsidRDefault="006A44C0" w:rsidP="006A44C0">
            <w:pPr>
              <w:jc w:val="left"/>
              <w:rPr>
                <w:rFonts w:ascii="Calibri" w:hAnsi="Calibri" w:cs="Arial"/>
                <w:lang w:eastAsia="en-GB"/>
              </w:rPr>
            </w:pPr>
          </w:p>
        </w:tc>
        <w:tc>
          <w:tcPr>
            <w:tcW w:w="1495" w:type="dxa"/>
            <w:tcBorders>
              <w:top w:val="nil"/>
              <w:left w:val="nil"/>
              <w:bottom w:val="nil"/>
              <w:right w:val="nil"/>
            </w:tcBorders>
            <w:shd w:val="clear" w:color="auto" w:fill="auto"/>
            <w:noWrap/>
            <w:vAlign w:val="bottom"/>
          </w:tcPr>
          <w:p w:rsidR="006A44C0" w:rsidRPr="006A44C0" w:rsidRDefault="006A44C0" w:rsidP="005563FD">
            <w:pPr>
              <w:jc w:val="center"/>
              <w:rPr>
                <w:rFonts w:ascii="Calibri" w:hAnsi="Calibri" w:cs="Arial"/>
                <w:b/>
                <w:bCs/>
                <w:lang w:eastAsia="en-GB"/>
              </w:rPr>
            </w:pPr>
          </w:p>
        </w:tc>
        <w:tc>
          <w:tcPr>
            <w:tcW w:w="1495" w:type="dxa"/>
            <w:tcBorders>
              <w:top w:val="nil"/>
              <w:left w:val="nil"/>
              <w:bottom w:val="nil"/>
              <w:right w:val="nil"/>
            </w:tcBorders>
            <w:shd w:val="clear" w:color="auto" w:fill="auto"/>
            <w:noWrap/>
            <w:vAlign w:val="bottom"/>
          </w:tcPr>
          <w:p w:rsidR="006A44C0" w:rsidRPr="006A44C0" w:rsidRDefault="006A44C0" w:rsidP="006A44C0">
            <w:pPr>
              <w:jc w:val="right"/>
              <w:rPr>
                <w:rFonts w:ascii="Calibri" w:hAnsi="Calibri" w:cs="Arial"/>
                <w:b/>
                <w:bCs/>
                <w:lang w:eastAsia="en-GB"/>
              </w:rPr>
            </w:pPr>
          </w:p>
        </w:tc>
      </w:tr>
      <w:tr w:rsidR="006A44C0" w:rsidRPr="006A44C0" w:rsidTr="004C12B8">
        <w:trPr>
          <w:trHeight w:val="110"/>
        </w:trPr>
        <w:tc>
          <w:tcPr>
            <w:tcW w:w="6584" w:type="dxa"/>
            <w:gridSpan w:val="7"/>
            <w:tcBorders>
              <w:top w:val="nil"/>
              <w:left w:val="nil"/>
              <w:bottom w:val="nil"/>
              <w:right w:val="nil"/>
            </w:tcBorders>
            <w:shd w:val="clear" w:color="auto" w:fill="auto"/>
            <w:noWrap/>
            <w:vAlign w:val="bottom"/>
          </w:tcPr>
          <w:p w:rsidR="006A44C0" w:rsidRPr="006A44C0" w:rsidRDefault="006A44C0" w:rsidP="006A44C0">
            <w:pPr>
              <w:jc w:val="left"/>
              <w:rPr>
                <w:rFonts w:ascii="Calibri" w:hAnsi="Calibri" w:cs="Arial"/>
                <w:b/>
                <w:bCs/>
                <w:lang w:eastAsia="en-GB"/>
              </w:rPr>
            </w:pPr>
          </w:p>
        </w:tc>
        <w:tc>
          <w:tcPr>
            <w:tcW w:w="1495" w:type="dxa"/>
            <w:tcBorders>
              <w:top w:val="nil"/>
              <w:left w:val="nil"/>
              <w:bottom w:val="nil"/>
              <w:right w:val="nil"/>
            </w:tcBorders>
            <w:shd w:val="clear" w:color="auto" w:fill="auto"/>
            <w:noWrap/>
            <w:vAlign w:val="bottom"/>
          </w:tcPr>
          <w:p w:rsidR="006A44C0" w:rsidRPr="006A44C0" w:rsidRDefault="006A44C0" w:rsidP="006A44C0">
            <w:pPr>
              <w:jc w:val="left"/>
              <w:rPr>
                <w:rFonts w:ascii="Calibri" w:hAnsi="Calibri" w:cs="Arial"/>
                <w:lang w:eastAsia="en-GB"/>
              </w:rPr>
            </w:pPr>
          </w:p>
        </w:tc>
        <w:tc>
          <w:tcPr>
            <w:tcW w:w="1495" w:type="dxa"/>
            <w:tcBorders>
              <w:top w:val="nil"/>
              <w:left w:val="nil"/>
              <w:bottom w:val="nil"/>
              <w:right w:val="nil"/>
            </w:tcBorders>
            <w:shd w:val="clear" w:color="auto" w:fill="auto"/>
            <w:noWrap/>
            <w:vAlign w:val="bottom"/>
          </w:tcPr>
          <w:p w:rsidR="006A44C0" w:rsidRPr="006A44C0" w:rsidRDefault="006A44C0" w:rsidP="006A44C0">
            <w:pPr>
              <w:jc w:val="left"/>
              <w:rPr>
                <w:rFonts w:ascii="Calibri" w:hAnsi="Calibri" w:cs="Arial"/>
                <w:lang w:eastAsia="en-GB"/>
              </w:rPr>
            </w:pPr>
          </w:p>
        </w:tc>
      </w:tr>
    </w:tbl>
    <w:p w:rsidR="006A44C0" w:rsidRDefault="006A44C0">
      <w:pPr>
        <w:jc w:val="left"/>
        <w:rPr>
          <w:rFonts w:ascii="Calibri" w:hAnsi="Calibri"/>
          <w:sz w:val="20"/>
          <w:szCs w:val="20"/>
          <w:lang w:eastAsia="en-GB"/>
        </w:rPr>
      </w:pPr>
    </w:p>
    <w:p w:rsidR="006A44C0" w:rsidRDefault="006A44C0">
      <w:pPr>
        <w:jc w:val="left"/>
        <w:rPr>
          <w:rFonts w:ascii="Calibri" w:hAnsi="Calibri"/>
          <w:sz w:val="20"/>
          <w:szCs w:val="20"/>
          <w:lang w:eastAsia="en-GB"/>
        </w:rPr>
      </w:pPr>
    </w:p>
    <w:p w:rsidR="006A44C0" w:rsidRDefault="006A44C0">
      <w:pPr>
        <w:jc w:val="left"/>
        <w:rPr>
          <w:rFonts w:ascii="Calibri" w:hAnsi="Calibri"/>
          <w:sz w:val="20"/>
          <w:szCs w:val="20"/>
          <w:lang w:eastAsia="en-GB"/>
        </w:rPr>
      </w:pPr>
    </w:p>
    <w:p w:rsidR="006A44C0" w:rsidRDefault="006A44C0">
      <w:pPr>
        <w:jc w:val="left"/>
        <w:rPr>
          <w:rFonts w:ascii="Calibri" w:hAnsi="Calibri"/>
          <w:sz w:val="20"/>
          <w:szCs w:val="20"/>
          <w:lang w:eastAsia="en-GB"/>
        </w:rPr>
      </w:pPr>
    </w:p>
    <w:p w:rsidR="006A44C0" w:rsidRDefault="006A44C0">
      <w:pPr>
        <w:jc w:val="left"/>
        <w:rPr>
          <w:rFonts w:ascii="Calibri" w:hAnsi="Calibri"/>
          <w:sz w:val="20"/>
          <w:szCs w:val="20"/>
          <w:lang w:eastAsia="en-GB"/>
        </w:rPr>
      </w:pPr>
    </w:p>
    <w:p w:rsidR="006A44C0" w:rsidRDefault="006A44C0">
      <w:pPr>
        <w:jc w:val="left"/>
        <w:rPr>
          <w:rFonts w:ascii="Calibri" w:hAnsi="Calibri"/>
          <w:sz w:val="20"/>
          <w:szCs w:val="20"/>
          <w:lang w:eastAsia="en-GB"/>
        </w:rPr>
      </w:pPr>
    </w:p>
    <w:p w:rsidR="006A44C0" w:rsidRDefault="006A44C0">
      <w:pPr>
        <w:jc w:val="left"/>
        <w:rPr>
          <w:rFonts w:ascii="Calibri" w:hAnsi="Calibri"/>
          <w:sz w:val="20"/>
          <w:szCs w:val="20"/>
          <w:lang w:eastAsia="en-GB"/>
        </w:rPr>
      </w:pPr>
    </w:p>
    <w:p w:rsidR="006A44C0" w:rsidRDefault="006A44C0">
      <w:pPr>
        <w:jc w:val="left"/>
        <w:rPr>
          <w:rFonts w:ascii="Calibri" w:hAnsi="Calibri"/>
          <w:sz w:val="20"/>
          <w:szCs w:val="20"/>
          <w:lang w:eastAsia="en-GB"/>
        </w:rPr>
      </w:pPr>
    </w:p>
    <w:p w:rsidR="006A44C0" w:rsidRDefault="006A44C0">
      <w:pPr>
        <w:jc w:val="left"/>
        <w:rPr>
          <w:rFonts w:ascii="Calibri" w:hAnsi="Calibri"/>
          <w:sz w:val="20"/>
          <w:szCs w:val="20"/>
          <w:lang w:eastAsia="en-GB"/>
        </w:rPr>
      </w:pPr>
    </w:p>
    <w:p w:rsidR="006A44C0" w:rsidRDefault="006A44C0">
      <w:pPr>
        <w:jc w:val="left"/>
        <w:rPr>
          <w:rFonts w:ascii="Calibri" w:hAnsi="Calibri"/>
          <w:sz w:val="20"/>
          <w:szCs w:val="20"/>
          <w:lang w:eastAsia="en-GB"/>
        </w:rPr>
      </w:pPr>
    </w:p>
    <w:p w:rsidR="006A44C0" w:rsidRDefault="006A44C0">
      <w:pPr>
        <w:jc w:val="left"/>
        <w:rPr>
          <w:rFonts w:ascii="Calibri" w:hAnsi="Calibri"/>
          <w:sz w:val="20"/>
          <w:szCs w:val="20"/>
          <w:lang w:eastAsia="en-GB"/>
        </w:rPr>
      </w:pPr>
    </w:p>
    <w:p w:rsidR="006A44C0" w:rsidRDefault="006A44C0">
      <w:pPr>
        <w:jc w:val="left"/>
        <w:rPr>
          <w:rFonts w:ascii="Calibri" w:hAnsi="Calibri"/>
          <w:sz w:val="20"/>
          <w:szCs w:val="20"/>
          <w:lang w:eastAsia="en-GB"/>
        </w:rPr>
      </w:pPr>
    </w:p>
    <w:p w:rsidR="006A44C0" w:rsidRDefault="006A44C0">
      <w:pPr>
        <w:jc w:val="left"/>
        <w:rPr>
          <w:rFonts w:ascii="Calibri" w:hAnsi="Calibri"/>
          <w:sz w:val="20"/>
          <w:szCs w:val="20"/>
          <w:lang w:eastAsia="en-GB"/>
        </w:rPr>
      </w:pPr>
    </w:p>
    <w:p w:rsidR="006A44C0" w:rsidRDefault="006A44C0">
      <w:pPr>
        <w:jc w:val="left"/>
        <w:rPr>
          <w:rFonts w:ascii="Calibri" w:hAnsi="Calibri"/>
          <w:sz w:val="20"/>
          <w:szCs w:val="20"/>
          <w:lang w:eastAsia="en-GB"/>
        </w:rPr>
      </w:pPr>
    </w:p>
    <w:p w:rsidR="006A44C0" w:rsidRDefault="006A44C0">
      <w:pPr>
        <w:jc w:val="left"/>
        <w:rPr>
          <w:rFonts w:ascii="Calibri" w:hAnsi="Calibri"/>
          <w:sz w:val="20"/>
          <w:szCs w:val="20"/>
          <w:lang w:eastAsia="en-GB"/>
        </w:rPr>
      </w:pPr>
    </w:p>
    <w:p w:rsidR="006A44C0" w:rsidRDefault="006A44C0">
      <w:pPr>
        <w:jc w:val="left"/>
        <w:rPr>
          <w:rFonts w:ascii="Calibri" w:hAnsi="Calibri"/>
          <w:sz w:val="20"/>
          <w:szCs w:val="20"/>
          <w:lang w:eastAsia="en-GB"/>
        </w:rPr>
      </w:pPr>
    </w:p>
    <w:p w:rsidR="006A44C0" w:rsidRDefault="006A44C0">
      <w:pPr>
        <w:jc w:val="left"/>
        <w:rPr>
          <w:rFonts w:ascii="Calibri" w:hAnsi="Calibri"/>
          <w:sz w:val="20"/>
          <w:szCs w:val="20"/>
          <w:lang w:eastAsia="en-GB"/>
        </w:rPr>
      </w:pPr>
    </w:p>
    <w:p w:rsidR="006A44C0" w:rsidRDefault="006A44C0">
      <w:pPr>
        <w:jc w:val="left"/>
        <w:rPr>
          <w:rFonts w:ascii="Calibri" w:hAnsi="Calibri"/>
          <w:sz w:val="20"/>
          <w:szCs w:val="20"/>
          <w:lang w:eastAsia="en-GB"/>
        </w:rPr>
      </w:pPr>
    </w:p>
    <w:p w:rsidR="006A44C0" w:rsidRDefault="006A44C0">
      <w:pPr>
        <w:jc w:val="left"/>
        <w:rPr>
          <w:rFonts w:ascii="Calibri" w:hAnsi="Calibri"/>
          <w:sz w:val="20"/>
          <w:szCs w:val="20"/>
          <w:lang w:eastAsia="en-GB"/>
        </w:rPr>
      </w:pPr>
    </w:p>
    <w:p w:rsidR="006A44C0" w:rsidRDefault="006A44C0">
      <w:pPr>
        <w:jc w:val="left"/>
        <w:rPr>
          <w:rFonts w:ascii="Calibri" w:hAnsi="Calibri"/>
          <w:sz w:val="20"/>
          <w:szCs w:val="20"/>
          <w:lang w:eastAsia="en-GB"/>
        </w:rPr>
      </w:pPr>
    </w:p>
    <w:p w:rsidR="006A44C0" w:rsidRDefault="006A44C0">
      <w:pPr>
        <w:jc w:val="left"/>
        <w:rPr>
          <w:rFonts w:ascii="Calibri" w:hAnsi="Calibri"/>
          <w:sz w:val="20"/>
          <w:szCs w:val="20"/>
          <w:lang w:eastAsia="en-GB"/>
        </w:rPr>
      </w:pPr>
    </w:p>
    <w:p w:rsidR="006A44C0" w:rsidRDefault="006A44C0">
      <w:pPr>
        <w:jc w:val="left"/>
        <w:rPr>
          <w:rFonts w:ascii="Calibri" w:hAnsi="Calibri"/>
          <w:sz w:val="20"/>
          <w:szCs w:val="20"/>
          <w:lang w:eastAsia="en-GB"/>
        </w:rPr>
      </w:pPr>
    </w:p>
    <w:p w:rsidR="006A44C0" w:rsidRDefault="006A44C0">
      <w:pPr>
        <w:jc w:val="left"/>
        <w:rPr>
          <w:rFonts w:ascii="Calibri" w:hAnsi="Calibri"/>
          <w:sz w:val="20"/>
          <w:szCs w:val="20"/>
          <w:lang w:eastAsia="en-GB"/>
        </w:rPr>
      </w:pPr>
    </w:p>
    <w:p w:rsidR="006A44C0" w:rsidRDefault="006A44C0">
      <w:pPr>
        <w:jc w:val="left"/>
        <w:rPr>
          <w:rFonts w:ascii="Calibri" w:hAnsi="Calibri"/>
          <w:sz w:val="20"/>
          <w:szCs w:val="20"/>
          <w:lang w:eastAsia="en-GB"/>
        </w:rPr>
      </w:pPr>
    </w:p>
    <w:p w:rsidR="006A44C0" w:rsidRDefault="006A44C0">
      <w:pPr>
        <w:jc w:val="left"/>
        <w:rPr>
          <w:rFonts w:ascii="Calibri" w:hAnsi="Calibri"/>
          <w:sz w:val="20"/>
          <w:szCs w:val="20"/>
          <w:lang w:eastAsia="en-GB"/>
        </w:rPr>
      </w:pPr>
    </w:p>
    <w:p w:rsidR="006A44C0" w:rsidRDefault="006A44C0">
      <w:pPr>
        <w:jc w:val="left"/>
        <w:rPr>
          <w:rFonts w:ascii="Calibri" w:hAnsi="Calibri"/>
          <w:sz w:val="20"/>
          <w:szCs w:val="20"/>
          <w:lang w:eastAsia="en-GB"/>
        </w:rPr>
      </w:pPr>
    </w:p>
    <w:p w:rsidR="006A44C0" w:rsidRDefault="006A44C0">
      <w:pPr>
        <w:jc w:val="left"/>
        <w:rPr>
          <w:rFonts w:ascii="Calibri" w:hAnsi="Calibri"/>
          <w:sz w:val="20"/>
          <w:szCs w:val="20"/>
          <w:lang w:eastAsia="en-GB"/>
        </w:rPr>
      </w:pPr>
    </w:p>
    <w:p w:rsidR="006A44C0" w:rsidRDefault="006A44C0">
      <w:pPr>
        <w:jc w:val="left"/>
        <w:rPr>
          <w:rFonts w:ascii="Calibri" w:hAnsi="Calibri"/>
          <w:sz w:val="20"/>
          <w:szCs w:val="20"/>
          <w:lang w:eastAsia="en-GB"/>
        </w:rPr>
      </w:pPr>
    </w:p>
    <w:tbl>
      <w:tblPr>
        <w:tblW w:w="8789" w:type="dxa"/>
        <w:tblInd w:w="108" w:type="dxa"/>
        <w:tblLook w:val="04A0" w:firstRow="1" w:lastRow="0" w:firstColumn="1" w:lastColumn="0" w:noHBand="0" w:noVBand="1"/>
      </w:tblPr>
      <w:tblGrid>
        <w:gridCol w:w="3570"/>
        <w:gridCol w:w="672"/>
        <w:gridCol w:w="1995"/>
        <w:gridCol w:w="2552"/>
      </w:tblGrid>
      <w:tr w:rsidR="006A44C0" w:rsidRPr="006A44C0" w:rsidTr="006A44C0">
        <w:trPr>
          <w:divId w:val="1937246360"/>
          <w:trHeight w:val="241"/>
        </w:trPr>
        <w:tc>
          <w:tcPr>
            <w:tcW w:w="3570" w:type="dxa"/>
            <w:tcBorders>
              <w:top w:val="nil"/>
              <w:left w:val="nil"/>
              <w:bottom w:val="nil"/>
              <w:right w:val="nil"/>
            </w:tcBorders>
            <w:shd w:val="clear" w:color="auto" w:fill="auto"/>
            <w:noWrap/>
            <w:vAlign w:val="bottom"/>
            <w:hideMark/>
          </w:tcPr>
          <w:p w:rsidR="006A44C0" w:rsidRPr="006A44C0" w:rsidRDefault="006A44C0" w:rsidP="006A44C0">
            <w:pPr>
              <w:jc w:val="left"/>
              <w:rPr>
                <w:rFonts w:ascii="Calibri" w:hAnsi="Calibri" w:cs="Arial"/>
                <w:lang w:eastAsia="en-GB"/>
              </w:rPr>
            </w:pPr>
          </w:p>
        </w:tc>
        <w:tc>
          <w:tcPr>
            <w:tcW w:w="672" w:type="dxa"/>
            <w:tcBorders>
              <w:top w:val="nil"/>
              <w:left w:val="nil"/>
              <w:bottom w:val="nil"/>
              <w:right w:val="nil"/>
            </w:tcBorders>
            <w:shd w:val="clear" w:color="auto" w:fill="auto"/>
            <w:noWrap/>
            <w:vAlign w:val="bottom"/>
            <w:hideMark/>
          </w:tcPr>
          <w:p w:rsidR="006A44C0" w:rsidRPr="006A44C0" w:rsidRDefault="006A44C0" w:rsidP="006A44C0">
            <w:pPr>
              <w:jc w:val="center"/>
              <w:rPr>
                <w:rFonts w:ascii="Calibri" w:hAnsi="Calibri" w:cs="Arial"/>
                <w:sz w:val="20"/>
                <w:szCs w:val="20"/>
                <w:lang w:eastAsia="en-GB"/>
              </w:rPr>
            </w:pPr>
          </w:p>
        </w:tc>
        <w:tc>
          <w:tcPr>
            <w:tcW w:w="1995" w:type="dxa"/>
            <w:tcBorders>
              <w:top w:val="nil"/>
              <w:left w:val="nil"/>
              <w:bottom w:val="nil"/>
              <w:right w:val="nil"/>
            </w:tcBorders>
            <w:shd w:val="clear" w:color="auto" w:fill="auto"/>
            <w:noWrap/>
            <w:vAlign w:val="bottom"/>
            <w:hideMark/>
          </w:tcPr>
          <w:p w:rsidR="006A44C0" w:rsidRPr="006A44C0" w:rsidRDefault="006A44C0" w:rsidP="00E14A1B">
            <w:pPr>
              <w:jc w:val="right"/>
              <w:rPr>
                <w:rFonts w:ascii="Calibri" w:hAnsi="Calibri" w:cs="Arial"/>
                <w:b/>
                <w:bCs/>
                <w:lang w:eastAsia="en-GB"/>
              </w:rPr>
            </w:pPr>
            <w:r w:rsidRPr="006A44C0">
              <w:rPr>
                <w:rFonts w:ascii="Calibri" w:hAnsi="Calibri" w:cs="Arial"/>
                <w:b/>
                <w:bCs/>
                <w:lang w:eastAsia="en-GB"/>
              </w:rPr>
              <w:t>201</w:t>
            </w:r>
            <w:r w:rsidR="00E14A1B">
              <w:rPr>
                <w:rFonts w:ascii="Calibri" w:hAnsi="Calibri" w:cs="Arial"/>
                <w:b/>
                <w:bCs/>
                <w:lang w:eastAsia="en-GB"/>
              </w:rPr>
              <w:t>4</w:t>
            </w:r>
          </w:p>
        </w:tc>
        <w:tc>
          <w:tcPr>
            <w:tcW w:w="2552" w:type="dxa"/>
            <w:tcBorders>
              <w:top w:val="nil"/>
              <w:left w:val="nil"/>
              <w:bottom w:val="nil"/>
              <w:right w:val="nil"/>
            </w:tcBorders>
            <w:shd w:val="clear" w:color="auto" w:fill="auto"/>
            <w:noWrap/>
            <w:vAlign w:val="bottom"/>
            <w:hideMark/>
          </w:tcPr>
          <w:p w:rsidR="006A44C0" w:rsidRPr="006A44C0" w:rsidRDefault="006A44C0" w:rsidP="00E14A1B">
            <w:pPr>
              <w:jc w:val="right"/>
              <w:rPr>
                <w:rFonts w:ascii="Calibri" w:hAnsi="Calibri" w:cs="Arial"/>
                <w:b/>
                <w:bCs/>
                <w:lang w:eastAsia="en-GB"/>
              </w:rPr>
            </w:pPr>
            <w:r w:rsidRPr="006A44C0">
              <w:rPr>
                <w:rFonts w:ascii="Calibri" w:hAnsi="Calibri" w:cs="Arial"/>
                <w:b/>
                <w:bCs/>
                <w:lang w:eastAsia="en-GB"/>
              </w:rPr>
              <w:t>201</w:t>
            </w:r>
            <w:r w:rsidR="00E14A1B">
              <w:rPr>
                <w:rFonts w:ascii="Calibri" w:hAnsi="Calibri" w:cs="Arial"/>
                <w:b/>
                <w:bCs/>
                <w:lang w:eastAsia="en-GB"/>
              </w:rPr>
              <w:t>3</w:t>
            </w:r>
          </w:p>
        </w:tc>
      </w:tr>
      <w:tr w:rsidR="006A44C0" w:rsidRPr="006A44C0" w:rsidTr="006A44C0">
        <w:trPr>
          <w:divId w:val="1937246360"/>
          <w:trHeight w:val="241"/>
        </w:trPr>
        <w:tc>
          <w:tcPr>
            <w:tcW w:w="4242" w:type="dxa"/>
            <w:gridSpan w:val="2"/>
            <w:tcBorders>
              <w:top w:val="nil"/>
              <w:left w:val="nil"/>
              <w:bottom w:val="nil"/>
              <w:right w:val="nil"/>
            </w:tcBorders>
            <w:shd w:val="clear" w:color="auto" w:fill="auto"/>
            <w:noWrap/>
            <w:vAlign w:val="bottom"/>
            <w:hideMark/>
          </w:tcPr>
          <w:p w:rsidR="006A44C0" w:rsidRPr="006A44C0" w:rsidRDefault="006A44C0" w:rsidP="006A44C0">
            <w:pPr>
              <w:jc w:val="left"/>
              <w:rPr>
                <w:rFonts w:ascii="Calibri" w:hAnsi="Calibri" w:cs="Arial"/>
                <w:b/>
                <w:bCs/>
                <w:lang w:eastAsia="en-GB"/>
              </w:rPr>
            </w:pPr>
            <w:r w:rsidRPr="006A44C0">
              <w:rPr>
                <w:rFonts w:ascii="Calibri" w:hAnsi="Calibri" w:cs="Arial"/>
                <w:b/>
                <w:bCs/>
                <w:lang w:eastAsia="en-GB"/>
              </w:rPr>
              <w:t>Consolidated Balance Sheet</w:t>
            </w:r>
          </w:p>
        </w:tc>
        <w:tc>
          <w:tcPr>
            <w:tcW w:w="1995" w:type="dxa"/>
            <w:tcBorders>
              <w:top w:val="nil"/>
              <w:left w:val="nil"/>
              <w:bottom w:val="nil"/>
              <w:right w:val="nil"/>
            </w:tcBorders>
            <w:shd w:val="clear" w:color="auto" w:fill="auto"/>
            <w:noWrap/>
            <w:vAlign w:val="bottom"/>
            <w:hideMark/>
          </w:tcPr>
          <w:p w:rsidR="006A44C0" w:rsidRPr="006A44C0" w:rsidRDefault="006A44C0" w:rsidP="006A44C0">
            <w:pPr>
              <w:jc w:val="right"/>
              <w:rPr>
                <w:rFonts w:ascii="Calibri" w:hAnsi="Calibri" w:cs="Arial"/>
                <w:b/>
                <w:bCs/>
                <w:lang w:eastAsia="en-GB"/>
              </w:rPr>
            </w:pPr>
            <w:r w:rsidRPr="006A44C0">
              <w:rPr>
                <w:rFonts w:ascii="Calibri" w:hAnsi="Calibri" w:cs="Arial"/>
                <w:b/>
                <w:bCs/>
                <w:lang w:eastAsia="en-GB"/>
              </w:rPr>
              <w:t>£'000</w:t>
            </w:r>
          </w:p>
        </w:tc>
        <w:tc>
          <w:tcPr>
            <w:tcW w:w="2552" w:type="dxa"/>
            <w:tcBorders>
              <w:top w:val="nil"/>
              <w:left w:val="nil"/>
              <w:bottom w:val="nil"/>
              <w:right w:val="nil"/>
            </w:tcBorders>
            <w:shd w:val="clear" w:color="auto" w:fill="auto"/>
            <w:noWrap/>
            <w:vAlign w:val="bottom"/>
            <w:hideMark/>
          </w:tcPr>
          <w:p w:rsidR="006A44C0" w:rsidRPr="006A44C0" w:rsidRDefault="006A44C0" w:rsidP="006A44C0">
            <w:pPr>
              <w:jc w:val="right"/>
              <w:rPr>
                <w:rFonts w:ascii="Calibri" w:hAnsi="Calibri" w:cs="Arial"/>
                <w:b/>
                <w:bCs/>
                <w:lang w:eastAsia="en-GB"/>
              </w:rPr>
            </w:pPr>
            <w:r w:rsidRPr="006A44C0">
              <w:rPr>
                <w:rFonts w:ascii="Calibri" w:hAnsi="Calibri" w:cs="Arial"/>
                <w:b/>
                <w:bCs/>
                <w:lang w:eastAsia="en-GB"/>
              </w:rPr>
              <w:t>£'000</w:t>
            </w:r>
          </w:p>
        </w:tc>
      </w:tr>
      <w:tr w:rsidR="006A44C0" w:rsidRPr="006A44C0" w:rsidTr="006A44C0">
        <w:trPr>
          <w:divId w:val="1937246360"/>
          <w:trHeight w:val="241"/>
        </w:trPr>
        <w:tc>
          <w:tcPr>
            <w:tcW w:w="3570" w:type="dxa"/>
            <w:tcBorders>
              <w:top w:val="nil"/>
              <w:left w:val="nil"/>
              <w:bottom w:val="nil"/>
              <w:right w:val="nil"/>
            </w:tcBorders>
            <w:shd w:val="clear" w:color="auto" w:fill="auto"/>
            <w:noWrap/>
            <w:vAlign w:val="bottom"/>
            <w:hideMark/>
          </w:tcPr>
          <w:p w:rsidR="006A44C0" w:rsidRPr="006A44C0" w:rsidRDefault="006A44C0" w:rsidP="00E14A1B">
            <w:pPr>
              <w:jc w:val="left"/>
              <w:rPr>
                <w:rFonts w:ascii="Calibri" w:hAnsi="Calibri" w:cs="Arial"/>
                <w:b/>
                <w:bCs/>
                <w:lang w:eastAsia="en-GB"/>
              </w:rPr>
            </w:pPr>
            <w:r w:rsidRPr="006A44C0">
              <w:rPr>
                <w:rFonts w:ascii="Calibri" w:hAnsi="Calibri" w:cs="Arial"/>
                <w:b/>
                <w:bCs/>
                <w:lang w:eastAsia="en-GB"/>
              </w:rPr>
              <w:t>as at 31 December 201</w:t>
            </w:r>
            <w:r w:rsidR="00E14A1B">
              <w:rPr>
                <w:rFonts w:ascii="Calibri" w:hAnsi="Calibri" w:cs="Arial"/>
                <w:b/>
                <w:bCs/>
                <w:lang w:eastAsia="en-GB"/>
              </w:rPr>
              <w:t>4</w:t>
            </w:r>
          </w:p>
        </w:tc>
        <w:tc>
          <w:tcPr>
            <w:tcW w:w="672" w:type="dxa"/>
            <w:tcBorders>
              <w:top w:val="nil"/>
              <w:left w:val="nil"/>
              <w:bottom w:val="nil"/>
              <w:right w:val="nil"/>
            </w:tcBorders>
            <w:shd w:val="clear" w:color="auto" w:fill="auto"/>
            <w:noWrap/>
            <w:vAlign w:val="bottom"/>
            <w:hideMark/>
          </w:tcPr>
          <w:p w:rsidR="006A44C0" w:rsidRPr="006A44C0" w:rsidRDefault="006A44C0" w:rsidP="006A44C0">
            <w:pPr>
              <w:jc w:val="center"/>
              <w:rPr>
                <w:rFonts w:ascii="Calibri" w:hAnsi="Calibri" w:cs="Arial"/>
                <w:sz w:val="20"/>
                <w:szCs w:val="20"/>
                <w:lang w:eastAsia="en-GB"/>
              </w:rPr>
            </w:pPr>
          </w:p>
        </w:tc>
        <w:tc>
          <w:tcPr>
            <w:tcW w:w="1995" w:type="dxa"/>
            <w:tcBorders>
              <w:top w:val="nil"/>
              <w:left w:val="nil"/>
              <w:bottom w:val="nil"/>
              <w:right w:val="nil"/>
            </w:tcBorders>
            <w:shd w:val="clear" w:color="auto" w:fill="auto"/>
            <w:noWrap/>
            <w:vAlign w:val="bottom"/>
            <w:hideMark/>
          </w:tcPr>
          <w:p w:rsidR="006A44C0" w:rsidRPr="006A44C0" w:rsidRDefault="006A44C0" w:rsidP="006A44C0">
            <w:pPr>
              <w:jc w:val="left"/>
              <w:rPr>
                <w:rFonts w:ascii="Calibri" w:hAnsi="Calibri" w:cs="Arial"/>
                <w:lang w:eastAsia="en-GB"/>
              </w:rPr>
            </w:pPr>
          </w:p>
        </w:tc>
        <w:tc>
          <w:tcPr>
            <w:tcW w:w="2552" w:type="dxa"/>
            <w:tcBorders>
              <w:top w:val="nil"/>
              <w:left w:val="nil"/>
              <w:bottom w:val="nil"/>
              <w:right w:val="nil"/>
            </w:tcBorders>
            <w:shd w:val="clear" w:color="auto" w:fill="auto"/>
            <w:noWrap/>
            <w:vAlign w:val="bottom"/>
            <w:hideMark/>
          </w:tcPr>
          <w:p w:rsidR="006A44C0" w:rsidRPr="006A44C0" w:rsidRDefault="006A44C0" w:rsidP="006A44C0">
            <w:pPr>
              <w:jc w:val="left"/>
              <w:rPr>
                <w:rFonts w:ascii="Calibri" w:hAnsi="Calibri" w:cs="Arial"/>
                <w:lang w:eastAsia="en-GB"/>
              </w:rPr>
            </w:pPr>
          </w:p>
        </w:tc>
      </w:tr>
      <w:tr w:rsidR="006A44C0" w:rsidRPr="006A44C0" w:rsidTr="006A44C0">
        <w:trPr>
          <w:divId w:val="1937246360"/>
          <w:trHeight w:val="241"/>
        </w:trPr>
        <w:tc>
          <w:tcPr>
            <w:tcW w:w="3570" w:type="dxa"/>
            <w:tcBorders>
              <w:top w:val="nil"/>
              <w:left w:val="nil"/>
              <w:bottom w:val="nil"/>
              <w:right w:val="nil"/>
            </w:tcBorders>
            <w:shd w:val="clear" w:color="auto" w:fill="auto"/>
            <w:noWrap/>
            <w:vAlign w:val="bottom"/>
            <w:hideMark/>
          </w:tcPr>
          <w:p w:rsidR="006A44C0" w:rsidRPr="006A44C0" w:rsidRDefault="006A44C0" w:rsidP="006A44C0">
            <w:pPr>
              <w:jc w:val="left"/>
              <w:rPr>
                <w:rFonts w:ascii="Calibri" w:hAnsi="Calibri" w:cs="Arial"/>
                <w:b/>
                <w:bCs/>
                <w:lang w:eastAsia="en-GB"/>
              </w:rPr>
            </w:pPr>
            <w:r w:rsidRPr="006A44C0">
              <w:rPr>
                <w:rFonts w:ascii="Calibri" w:hAnsi="Calibri" w:cs="Arial"/>
                <w:b/>
                <w:bCs/>
                <w:lang w:eastAsia="en-GB"/>
              </w:rPr>
              <w:t>Assets</w:t>
            </w:r>
          </w:p>
        </w:tc>
        <w:tc>
          <w:tcPr>
            <w:tcW w:w="672" w:type="dxa"/>
            <w:tcBorders>
              <w:top w:val="nil"/>
              <w:left w:val="nil"/>
              <w:bottom w:val="nil"/>
              <w:right w:val="nil"/>
            </w:tcBorders>
            <w:shd w:val="clear" w:color="auto" w:fill="auto"/>
            <w:noWrap/>
            <w:vAlign w:val="bottom"/>
            <w:hideMark/>
          </w:tcPr>
          <w:p w:rsidR="006A44C0" w:rsidRPr="006A44C0" w:rsidRDefault="006A44C0" w:rsidP="006A44C0">
            <w:pPr>
              <w:jc w:val="center"/>
              <w:rPr>
                <w:rFonts w:ascii="Calibri" w:hAnsi="Calibri" w:cs="Arial"/>
                <w:sz w:val="20"/>
                <w:szCs w:val="20"/>
                <w:lang w:eastAsia="en-GB"/>
              </w:rPr>
            </w:pPr>
          </w:p>
        </w:tc>
        <w:tc>
          <w:tcPr>
            <w:tcW w:w="1995" w:type="dxa"/>
            <w:tcBorders>
              <w:top w:val="nil"/>
              <w:left w:val="nil"/>
              <w:bottom w:val="nil"/>
              <w:right w:val="nil"/>
            </w:tcBorders>
            <w:shd w:val="clear" w:color="auto" w:fill="auto"/>
            <w:noWrap/>
            <w:vAlign w:val="bottom"/>
            <w:hideMark/>
          </w:tcPr>
          <w:p w:rsidR="006A44C0" w:rsidRPr="006A44C0" w:rsidRDefault="006A44C0" w:rsidP="006A44C0">
            <w:pPr>
              <w:jc w:val="right"/>
              <w:rPr>
                <w:rFonts w:ascii="Calibri" w:hAnsi="Calibri" w:cs="Arial"/>
                <w:lang w:eastAsia="en-GB"/>
              </w:rPr>
            </w:pPr>
          </w:p>
        </w:tc>
        <w:tc>
          <w:tcPr>
            <w:tcW w:w="2552" w:type="dxa"/>
            <w:tcBorders>
              <w:top w:val="nil"/>
              <w:left w:val="nil"/>
              <w:bottom w:val="nil"/>
              <w:right w:val="nil"/>
            </w:tcBorders>
            <w:shd w:val="clear" w:color="auto" w:fill="auto"/>
            <w:noWrap/>
            <w:vAlign w:val="bottom"/>
            <w:hideMark/>
          </w:tcPr>
          <w:p w:rsidR="006A44C0" w:rsidRPr="006A44C0" w:rsidRDefault="006A44C0" w:rsidP="006A44C0">
            <w:pPr>
              <w:jc w:val="left"/>
              <w:rPr>
                <w:rFonts w:ascii="Calibri" w:hAnsi="Calibri" w:cs="Arial"/>
                <w:lang w:eastAsia="en-GB"/>
              </w:rPr>
            </w:pPr>
          </w:p>
        </w:tc>
      </w:tr>
      <w:tr w:rsidR="006A44C0" w:rsidRPr="006A44C0" w:rsidTr="006A44C0">
        <w:trPr>
          <w:divId w:val="1937246360"/>
          <w:trHeight w:val="241"/>
        </w:trPr>
        <w:tc>
          <w:tcPr>
            <w:tcW w:w="3570" w:type="dxa"/>
            <w:tcBorders>
              <w:top w:val="nil"/>
              <w:left w:val="nil"/>
              <w:bottom w:val="nil"/>
              <w:right w:val="nil"/>
            </w:tcBorders>
            <w:shd w:val="clear" w:color="auto" w:fill="auto"/>
            <w:noWrap/>
            <w:vAlign w:val="bottom"/>
            <w:hideMark/>
          </w:tcPr>
          <w:p w:rsidR="006A44C0" w:rsidRPr="006A44C0" w:rsidRDefault="006A44C0" w:rsidP="006A44C0">
            <w:pPr>
              <w:jc w:val="left"/>
              <w:rPr>
                <w:rFonts w:ascii="Calibri" w:hAnsi="Calibri" w:cs="Arial"/>
                <w:b/>
                <w:bCs/>
                <w:lang w:eastAsia="en-GB"/>
              </w:rPr>
            </w:pPr>
            <w:r w:rsidRPr="006A44C0">
              <w:rPr>
                <w:rFonts w:ascii="Calibri" w:hAnsi="Calibri" w:cs="Arial"/>
                <w:b/>
                <w:bCs/>
                <w:lang w:eastAsia="en-GB"/>
              </w:rPr>
              <w:t>Non-current assets</w:t>
            </w:r>
          </w:p>
        </w:tc>
        <w:tc>
          <w:tcPr>
            <w:tcW w:w="672" w:type="dxa"/>
            <w:tcBorders>
              <w:top w:val="nil"/>
              <w:left w:val="nil"/>
              <w:bottom w:val="nil"/>
              <w:right w:val="nil"/>
            </w:tcBorders>
            <w:shd w:val="clear" w:color="auto" w:fill="auto"/>
            <w:noWrap/>
            <w:vAlign w:val="bottom"/>
            <w:hideMark/>
          </w:tcPr>
          <w:p w:rsidR="006A44C0" w:rsidRPr="006A44C0" w:rsidRDefault="006A44C0" w:rsidP="006A44C0">
            <w:pPr>
              <w:jc w:val="center"/>
              <w:rPr>
                <w:rFonts w:ascii="Calibri" w:hAnsi="Calibri" w:cs="Arial"/>
                <w:sz w:val="20"/>
                <w:szCs w:val="20"/>
                <w:lang w:eastAsia="en-GB"/>
              </w:rPr>
            </w:pPr>
          </w:p>
        </w:tc>
        <w:tc>
          <w:tcPr>
            <w:tcW w:w="1995" w:type="dxa"/>
            <w:tcBorders>
              <w:top w:val="nil"/>
              <w:left w:val="nil"/>
              <w:bottom w:val="nil"/>
              <w:right w:val="nil"/>
            </w:tcBorders>
            <w:shd w:val="clear" w:color="auto" w:fill="auto"/>
            <w:noWrap/>
            <w:vAlign w:val="bottom"/>
            <w:hideMark/>
          </w:tcPr>
          <w:p w:rsidR="006A44C0" w:rsidRPr="006A44C0" w:rsidRDefault="006A44C0" w:rsidP="006A44C0">
            <w:pPr>
              <w:jc w:val="right"/>
              <w:rPr>
                <w:rFonts w:ascii="Calibri" w:hAnsi="Calibri" w:cs="Arial"/>
                <w:lang w:eastAsia="en-GB"/>
              </w:rPr>
            </w:pPr>
          </w:p>
        </w:tc>
        <w:tc>
          <w:tcPr>
            <w:tcW w:w="2552" w:type="dxa"/>
            <w:tcBorders>
              <w:top w:val="nil"/>
              <w:left w:val="nil"/>
              <w:bottom w:val="nil"/>
              <w:right w:val="nil"/>
            </w:tcBorders>
            <w:shd w:val="clear" w:color="auto" w:fill="auto"/>
            <w:noWrap/>
            <w:vAlign w:val="bottom"/>
            <w:hideMark/>
          </w:tcPr>
          <w:p w:rsidR="006A44C0" w:rsidRPr="006A44C0" w:rsidRDefault="006A44C0" w:rsidP="006A44C0">
            <w:pPr>
              <w:jc w:val="left"/>
              <w:rPr>
                <w:rFonts w:ascii="Calibri" w:hAnsi="Calibri" w:cs="Arial"/>
                <w:lang w:eastAsia="en-GB"/>
              </w:rPr>
            </w:pPr>
          </w:p>
        </w:tc>
      </w:tr>
      <w:tr w:rsidR="006A44C0" w:rsidRPr="006A44C0" w:rsidTr="006A44C0">
        <w:trPr>
          <w:divId w:val="1937246360"/>
          <w:trHeight w:val="241"/>
        </w:trPr>
        <w:tc>
          <w:tcPr>
            <w:tcW w:w="3570" w:type="dxa"/>
            <w:tcBorders>
              <w:top w:val="nil"/>
              <w:left w:val="nil"/>
              <w:bottom w:val="nil"/>
              <w:right w:val="nil"/>
            </w:tcBorders>
            <w:shd w:val="clear" w:color="auto" w:fill="auto"/>
            <w:noWrap/>
            <w:vAlign w:val="bottom"/>
            <w:hideMark/>
          </w:tcPr>
          <w:p w:rsidR="006A44C0" w:rsidRPr="006A44C0" w:rsidRDefault="006A44C0" w:rsidP="006A44C0">
            <w:pPr>
              <w:jc w:val="left"/>
              <w:rPr>
                <w:rFonts w:ascii="Calibri" w:hAnsi="Calibri" w:cs="Arial"/>
                <w:lang w:eastAsia="en-GB"/>
              </w:rPr>
            </w:pPr>
            <w:r w:rsidRPr="006A44C0">
              <w:rPr>
                <w:rFonts w:ascii="Calibri" w:hAnsi="Calibri" w:cs="Arial"/>
                <w:lang w:eastAsia="en-GB"/>
              </w:rPr>
              <w:t>Intangible assets</w:t>
            </w:r>
          </w:p>
        </w:tc>
        <w:tc>
          <w:tcPr>
            <w:tcW w:w="672" w:type="dxa"/>
            <w:tcBorders>
              <w:top w:val="nil"/>
              <w:left w:val="nil"/>
              <w:bottom w:val="nil"/>
              <w:right w:val="nil"/>
            </w:tcBorders>
            <w:shd w:val="clear" w:color="auto" w:fill="auto"/>
            <w:noWrap/>
            <w:vAlign w:val="bottom"/>
            <w:hideMark/>
          </w:tcPr>
          <w:p w:rsidR="006A44C0" w:rsidRPr="006A44C0" w:rsidRDefault="006A44C0" w:rsidP="006A44C0">
            <w:pPr>
              <w:jc w:val="center"/>
              <w:rPr>
                <w:rFonts w:ascii="Calibri" w:hAnsi="Calibri" w:cs="Arial"/>
                <w:sz w:val="20"/>
                <w:szCs w:val="20"/>
                <w:lang w:eastAsia="en-GB"/>
              </w:rPr>
            </w:pPr>
          </w:p>
        </w:tc>
        <w:tc>
          <w:tcPr>
            <w:tcW w:w="1995" w:type="dxa"/>
            <w:tcBorders>
              <w:top w:val="nil"/>
              <w:left w:val="nil"/>
              <w:bottom w:val="nil"/>
              <w:right w:val="nil"/>
            </w:tcBorders>
            <w:shd w:val="clear" w:color="auto" w:fill="auto"/>
            <w:noWrap/>
            <w:vAlign w:val="bottom"/>
            <w:hideMark/>
          </w:tcPr>
          <w:p w:rsidR="006A44C0" w:rsidRPr="006A44C0" w:rsidRDefault="00E14A1B" w:rsidP="00E14A1B">
            <w:pPr>
              <w:jc w:val="right"/>
              <w:rPr>
                <w:rFonts w:ascii="Calibri" w:hAnsi="Calibri" w:cs="Arial"/>
                <w:lang w:eastAsia="en-GB"/>
              </w:rPr>
            </w:pPr>
            <w:r>
              <w:rPr>
                <w:rFonts w:ascii="Calibri" w:hAnsi="Calibri" w:cs="Arial"/>
                <w:lang w:eastAsia="en-GB"/>
              </w:rPr>
              <w:t xml:space="preserve">       2,476</w:t>
            </w:r>
            <w:r w:rsidR="006A44C0" w:rsidRPr="006A44C0">
              <w:rPr>
                <w:rFonts w:ascii="Calibri" w:hAnsi="Calibri" w:cs="Arial"/>
                <w:lang w:eastAsia="en-GB"/>
              </w:rPr>
              <w:t xml:space="preserve"> </w:t>
            </w:r>
          </w:p>
        </w:tc>
        <w:tc>
          <w:tcPr>
            <w:tcW w:w="2552" w:type="dxa"/>
            <w:tcBorders>
              <w:top w:val="nil"/>
              <w:left w:val="nil"/>
              <w:bottom w:val="nil"/>
              <w:right w:val="nil"/>
            </w:tcBorders>
            <w:shd w:val="clear" w:color="auto" w:fill="auto"/>
            <w:noWrap/>
            <w:vAlign w:val="bottom"/>
            <w:hideMark/>
          </w:tcPr>
          <w:p w:rsidR="006A44C0" w:rsidRPr="006A44C0" w:rsidRDefault="006A44C0" w:rsidP="00E14A1B">
            <w:pPr>
              <w:jc w:val="right"/>
              <w:rPr>
                <w:rFonts w:ascii="Calibri" w:hAnsi="Calibri" w:cs="Arial"/>
                <w:lang w:eastAsia="en-GB"/>
              </w:rPr>
            </w:pPr>
            <w:r w:rsidRPr="006A44C0">
              <w:rPr>
                <w:rFonts w:ascii="Calibri" w:hAnsi="Calibri" w:cs="Arial"/>
                <w:lang w:eastAsia="en-GB"/>
              </w:rPr>
              <w:t xml:space="preserve">       2,4</w:t>
            </w:r>
            <w:r w:rsidR="00E14A1B">
              <w:rPr>
                <w:rFonts w:ascii="Calibri" w:hAnsi="Calibri" w:cs="Arial"/>
                <w:lang w:eastAsia="en-GB"/>
              </w:rPr>
              <w:t>3</w:t>
            </w:r>
            <w:r w:rsidRPr="006A44C0">
              <w:rPr>
                <w:rFonts w:ascii="Calibri" w:hAnsi="Calibri" w:cs="Arial"/>
                <w:lang w:eastAsia="en-GB"/>
              </w:rPr>
              <w:t xml:space="preserve">8 </w:t>
            </w:r>
          </w:p>
        </w:tc>
      </w:tr>
      <w:tr w:rsidR="006A44C0" w:rsidRPr="006A44C0" w:rsidTr="006A44C0">
        <w:trPr>
          <w:divId w:val="1937246360"/>
          <w:trHeight w:val="241"/>
        </w:trPr>
        <w:tc>
          <w:tcPr>
            <w:tcW w:w="3570" w:type="dxa"/>
            <w:tcBorders>
              <w:top w:val="nil"/>
              <w:left w:val="nil"/>
              <w:bottom w:val="nil"/>
              <w:right w:val="nil"/>
            </w:tcBorders>
            <w:shd w:val="clear" w:color="auto" w:fill="auto"/>
            <w:noWrap/>
            <w:vAlign w:val="bottom"/>
            <w:hideMark/>
          </w:tcPr>
          <w:p w:rsidR="006A44C0" w:rsidRPr="006A44C0" w:rsidRDefault="006A44C0" w:rsidP="006A44C0">
            <w:pPr>
              <w:jc w:val="left"/>
              <w:rPr>
                <w:rFonts w:ascii="Calibri" w:hAnsi="Calibri" w:cs="Arial"/>
                <w:lang w:eastAsia="en-GB"/>
              </w:rPr>
            </w:pPr>
            <w:r w:rsidRPr="006A44C0">
              <w:rPr>
                <w:rFonts w:ascii="Calibri" w:hAnsi="Calibri" w:cs="Arial"/>
                <w:lang w:eastAsia="en-GB"/>
              </w:rPr>
              <w:t>Property, plant and equipment</w:t>
            </w:r>
          </w:p>
        </w:tc>
        <w:tc>
          <w:tcPr>
            <w:tcW w:w="672" w:type="dxa"/>
            <w:tcBorders>
              <w:top w:val="nil"/>
              <w:left w:val="nil"/>
              <w:bottom w:val="nil"/>
              <w:right w:val="nil"/>
            </w:tcBorders>
            <w:shd w:val="clear" w:color="auto" w:fill="auto"/>
            <w:noWrap/>
            <w:vAlign w:val="bottom"/>
            <w:hideMark/>
          </w:tcPr>
          <w:p w:rsidR="006A44C0" w:rsidRPr="006A44C0" w:rsidRDefault="006A44C0" w:rsidP="006A44C0">
            <w:pPr>
              <w:jc w:val="center"/>
              <w:rPr>
                <w:rFonts w:ascii="Calibri" w:hAnsi="Calibri" w:cs="Arial"/>
                <w:sz w:val="20"/>
                <w:szCs w:val="20"/>
                <w:lang w:eastAsia="en-GB"/>
              </w:rPr>
            </w:pPr>
          </w:p>
        </w:tc>
        <w:tc>
          <w:tcPr>
            <w:tcW w:w="1995" w:type="dxa"/>
            <w:tcBorders>
              <w:top w:val="nil"/>
              <w:left w:val="nil"/>
              <w:bottom w:val="single" w:sz="4" w:space="0" w:color="auto"/>
              <w:right w:val="nil"/>
            </w:tcBorders>
            <w:shd w:val="clear" w:color="auto" w:fill="auto"/>
            <w:noWrap/>
            <w:vAlign w:val="bottom"/>
            <w:hideMark/>
          </w:tcPr>
          <w:p w:rsidR="006A44C0" w:rsidRPr="006A44C0" w:rsidRDefault="00E14A1B" w:rsidP="006A44C0">
            <w:pPr>
              <w:jc w:val="right"/>
              <w:rPr>
                <w:rFonts w:ascii="Calibri" w:hAnsi="Calibri" w:cs="Arial"/>
                <w:lang w:eastAsia="en-GB"/>
              </w:rPr>
            </w:pPr>
            <w:r>
              <w:rPr>
                <w:rFonts w:ascii="Calibri" w:hAnsi="Calibri" w:cs="Arial"/>
                <w:lang w:eastAsia="en-GB"/>
              </w:rPr>
              <w:t xml:space="preserve">     41,899</w:t>
            </w:r>
            <w:r w:rsidR="006A44C0" w:rsidRPr="006A44C0">
              <w:rPr>
                <w:rFonts w:ascii="Calibri" w:hAnsi="Calibri" w:cs="Arial"/>
                <w:lang w:eastAsia="en-GB"/>
              </w:rPr>
              <w:t xml:space="preserve"> </w:t>
            </w:r>
          </w:p>
        </w:tc>
        <w:tc>
          <w:tcPr>
            <w:tcW w:w="2552" w:type="dxa"/>
            <w:tcBorders>
              <w:top w:val="nil"/>
              <w:left w:val="nil"/>
              <w:bottom w:val="single" w:sz="4" w:space="0" w:color="auto"/>
              <w:right w:val="nil"/>
            </w:tcBorders>
            <w:shd w:val="clear" w:color="auto" w:fill="auto"/>
            <w:noWrap/>
            <w:vAlign w:val="bottom"/>
            <w:hideMark/>
          </w:tcPr>
          <w:p w:rsidR="006A44C0" w:rsidRPr="006A44C0" w:rsidRDefault="006A44C0" w:rsidP="00E14A1B">
            <w:pPr>
              <w:jc w:val="right"/>
              <w:rPr>
                <w:rFonts w:ascii="Calibri" w:hAnsi="Calibri" w:cs="Arial"/>
                <w:lang w:eastAsia="en-GB"/>
              </w:rPr>
            </w:pPr>
            <w:r w:rsidRPr="006A44C0">
              <w:rPr>
                <w:rFonts w:ascii="Calibri" w:hAnsi="Calibri" w:cs="Arial"/>
                <w:lang w:eastAsia="en-GB"/>
              </w:rPr>
              <w:t xml:space="preserve">     41,</w:t>
            </w:r>
            <w:r w:rsidR="00E14A1B">
              <w:rPr>
                <w:rFonts w:ascii="Calibri" w:hAnsi="Calibri" w:cs="Arial"/>
                <w:lang w:eastAsia="en-GB"/>
              </w:rPr>
              <w:t>831</w:t>
            </w:r>
            <w:r w:rsidRPr="006A44C0">
              <w:rPr>
                <w:rFonts w:ascii="Calibri" w:hAnsi="Calibri" w:cs="Arial"/>
                <w:lang w:eastAsia="en-GB"/>
              </w:rPr>
              <w:t xml:space="preserve"> </w:t>
            </w:r>
          </w:p>
        </w:tc>
      </w:tr>
      <w:tr w:rsidR="006A44C0" w:rsidRPr="006A44C0" w:rsidTr="006A44C0">
        <w:trPr>
          <w:divId w:val="1937246360"/>
          <w:trHeight w:val="241"/>
        </w:trPr>
        <w:tc>
          <w:tcPr>
            <w:tcW w:w="3570" w:type="dxa"/>
            <w:tcBorders>
              <w:top w:val="nil"/>
              <w:left w:val="nil"/>
              <w:bottom w:val="nil"/>
              <w:right w:val="nil"/>
            </w:tcBorders>
            <w:shd w:val="clear" w:color="auto" w:fill="auto"/>
            <w:noWrap/>
            <w:vAlign w:val="bottom"/>
            <w:hideMark/>
          </w:tcPr>
          <w:p w:rsidR="006A44C0" w:rsidRPr="006A44C0" w:rsidRDefault="006A44C0" w:rsidP="006A44C0">
            <w:pPr>
              <w:jc w:val="left"/>
              <w:rPr>
                <w:rFonts w:ascii="Calibri" w:hAnsi="Calibri" w:cs="Arial"/>
                <w:lang w:eastAsia="en-GB"/>
              </w:rPr>
            </w:pPr>
          </w:p>
        </w:tc>
        <w:tc>
          <w:tcPr>
            <w:tcW w:w="672" w:type="dxa"/>
            <w:tcBorders>
              <w:top w:val="nil"/>
              <w:left w:val="nil"/>
              <w:bottom w:val="nil"/>
              <w:right w:val="nil"/>
            </w:tcBorders>
            <w:shd w:val="clear" w:color="auto" w:fill="auto"/>
            <w:noWrap/>
            <w:vAlign w:val="bottom"/>
            <w:hideMark/>
          </w:tcPr>
          <w:p w:rsidR="006A44C0" w:rsidRPr="006A44C0" w:rsidRDefault="006A44C0" w:rsidP="006A44C0">
            <w:pPr>
              <w:jc w:val="center"/>
              <w:rPr>
                <w:rFonts w:ascii="Calibri" w:hAnsi="Calibri" w:cs="Arial"/>
                <w:sz w:val="20"/>
                <w:szCs w:val="20"/>
                <w:lang w:eastAsia="en-GB"/>
              </w:rPr>
            </w:pPr>
          </w:p>
        </w:tc>
        <w:tc>
          <w:tcPr>
            <w:tcW w:w="1995" w:type="dxa"/>
            <w:tcBorders>
              <w:top w:val="nil"/>
              <w:left w:val="nil"/>
              <w:bottom w:val="nil"/>
              <w:right w:val="nil"/>
            </w:tcBorders>
            <w:shd w:val="clear" w:color="auto" w:fill="auto"/>
            <w:noWrap/>
            <w:vAlign w:val="bottom"/>
            <w:hideMark/>
          </w:tcPr>
          <w:p w:rsidR="006A44C0" w:rsidRPr="006A44C0" w:rsidRDefault="00E14A1B" w:rsidP="006A44C0">
            <w:pPr>
              <w:jc w:val="right"/>
              <w:rPr>
                <w:rFonts w:ascii="Calibri" w:hAnsi="Calibri" w:cs="Arial"/>
                <w:lang w:eastAsia="en-GB"/>
              </w:rPr>
            </w:pPr>
            <w:r>
              <w:rPr>
                <w:rFonts w:ascii="Calibri" w:hAnsi="Calibri" w:cs="Arial"/>
                <w:lang w:eastAsia="en-GB"/>
              </w:rPr>
              <w:t xml:space="preserve">     44,375</w:t>
            </w:r>
            <w:r w:rsidR="006A44C0" w:rsidRPr="006A44C0">
              <w:rPr>
                <w:rFonts w:ascii="Calibri" w:hAnsi="Calibri" w:cs="Arial"/>
                <w:lang w:eastAsia="en-GB"/>
              </w:rPr>
              <w:t xml:space="preserve"> </w:t>
            </w:r>
          </w:p>
        </w:tc>
        <w:tc>
          <w:tcPr>
            <w:tcW w:w="2552" w:type="dxa"/>
            <w:tcBorders>
              <w:top w:val="nil"/>
              <w:left w:val="nil"/>
              <w:bottom w:val="nil"/>
              <w:right w:val="nil"/>
            </w:tcBorders>
            <w:shd w:val="clear" w:color="auto" w:fill="auto"/>
            <w:noWrap/>
            <w:vAlign w:val="bottom"/>
            <w:hideMark/>
          </w:tcPr>
          <w:p w:rsidR="006A44C0" w:rsidRPr="006A44C0" w:rsidRDefault="00E14A1B" w:rsidP="006A44C0">
            <w:pPr>
              <w:jc w:val="right"/>
              <w:rPr>
                <w:rFonts w:ascii="Calibri" w:hAnsi="Calibri" w:cs="Arial"/>
                <w:lang w:eastAsia="en-GB"/>
              </w:rPr>
            </w:pPr>
            <w:r>
              <w:rPr>
                <w:rFonts w:ascii="Calibri" w:hAnsi="Calibri" w:cs="Arial"/>
                <w:lang w:eastAsia="en-GB"/>
              </w:rPr>
              <w:t xml:space="preserve">     44,269</w:t>
            </w:r>
            <w:r w:rsidR="006A44C0" w:rsidRPr="006A44C0">
              <w:rPr>
                <w:rFonts w:ascii="Calibri" w:hAnsi="Calibri" w:cs="Arial"/>
                <w:lang w:eastAsia="en-GB"/>
              </w:rPr>
              <w:t xml:space="preserve"> </w:t>
            </w:r>
          </w:p>
        </w:tc>
      </w:tr>
      <w:tr w:rsidR="00387232" w:rsidRPr="006A44C0" w:rsidTr="006A44C0">
        <w:trPr>
          <w:divId w:val="1937246360"/>
          <w:trHeight w:val="241"/>
        </w:trPr>
        <w:tc>
          <w:tcPr>
            <w:tcW w:w="3570" w:type="dxa"/>
            <w:tcBorders>
              <w:top w:val="nil"/>
              <w:left w:val="nil"/>
              <w:bottom w:val="nil"/>
              <w:right w:val="nil"/>
            </w:tcBorders>
            <w:shd w:val="clear" w:color="auto" w:fill="auto"/>
            <w:noWrap/>
            <w:vAlign w:val="bottom"/>
          </w:tcPr>
          <w:p w:rsidR="00387232" w:rsidRPr="00387232" w:rsidRDefault="00387232" w:rsidP="006A44C0">
            <w:pPr>
              <w:jc w:val="left"/>
              <w:rPr>
                <w:rFonts w:ascii="Calibri" w:hAnsi="Calibri" w:cs="Arial"/>
                <w:bCs/>
                <w:lang w:eastAsia="en-GB"/>
              </w:rPr>
            </w:pPr>
            <w:r w:rsidRPr="006A44C0">
              <w:rPr>
                <w:rFonts w:ascii="Calibri" w:hAnsi="Calibri" w:cs="Arial"/>
                <w:b/>
                <w:bCs/>
                <w:lang w:eastAsia="en-GB"/>
              </w:rPr>
              <w:t>Amounts falling due after one year</w:t>
            </w:r>
          </w:p>
        </w:tc>
        <w:tc>
          <w:tcPr>
            <w:tcW w:w="672" w:type="dxa"/>
            <w:tcBorders>
              <w:top w:val="nil"/>
              <w:left w:val="nil"/>
              <w:bottom w:val="nil"/>
              <w:right w:val="nil"/>
            </w:tcBorders>
            <w:shd w:val="clear" w:color="auto" w:fill="auto"/>
            <w:noWrap/>
            <w:vAlign w:val="bottom"/>
          </w:tcPr>
          <w:p w:rsidR="00387232" w:rsidRPr="006A44C0" w:rsidRDefault="00387232" w:rsidP="006A44C0">
            <w:pPr>
              <w:jc w:val="center"/>
              <w:rPr>
                <w:rFonts w:ascii="Calibri" w:hAnsi="Calibri" w:cs="Arial"/>
                <w:sz w:val="20"/>
                <w:szCs w:val="20"/>
                <w:lang w:eastAsia="en-GB"/>
              </w:rPr>
            </w:pPr>
          </w:p>
        </w:tc>
        <w:tc>
          <w:tcPr>
            <w:tcW w:w="1995" w:type="dxa"/>
            <w:tcBorders>
              <w:top w:val="nil"/>
              <w:left w:val="nil"/>
              <w:bottom w:val="nil"/>
              <w:right w:val="nil"/>
            </w:tcBorders>
            <w:shd w:val="clear" w:color="auto" w:fill="auto"/>
            <w:noWrap/>
            <w:vAlign w:val="bottom"/>
          </w:tcPr>
          <w:p w:rsidR="00387232" w:rsidRPr="006A44C0" w:rsidRDefault="00387232" w:rsidP="006A44C0">
            <w:pPr>
              <w:jc w:val="right"/>
              <w:rPr>
                <w:rFonts w:ascii="Calibri" w:hAnsi="Calibri" w:cs="Arial"/>
                <w:lang w:eastAsia="en-GB"/>
              </w:rPr>
            </w:pPr>
          </w:p>
        </w:tc>
        <w:tc>
          <w:tcPr>
            <w:tcW w:w="2552" w:type="dxa"/>
            <w:tcBorders>
              <w:top w:val="nil"/>
              <w:left w:val="nil"/>
              <w:bottom w:val="nil"/>
              <w:right w:val="nil"/>
            </w:tcBorders>
            <w:shd w:val="clear" w:color="auto" w:fill="auto"/>
            <w:noWrap/>
            <w:vAlign w:val="bottom"/>
          </w:tcPr>
          <w:p w:rsidR="00387232" w:rsidRPr="006A44C0" w:rsidRDefault="00387232" w:rsidP="006A44C0">
            <w:pPr>
              <w:jc w:val="right"/>
              <w:rPr>
                <w:rFonts w:ascii="Calibri" w:hAnsi="Calibri" w:cs="Arial"/>
                <w:lang w:eastAsia="en-GB"/>
              </w:rPr>
            </w:pPr>
          </w:p>
        </w:tc>
      </w:tr>
      <w:tr w:rsidR="00387232" w:rsidRPr="006A44C0" w:rsidTr="00387232">
        <w:trPr>
          <w:divId w:val="1937246360"/>
          <w:trHeight w:val="241"/>
        </w:trPr>
        <w:tc>
          <w:tcPr>
            <w:tcW w:w="3570" w:type="dxa"/>
            <w:tcBorders>
              <w:top w:val="nil"/>
              <w:left w:val="nil"/>
              <w:bottom w:val="nil"/>
              <w:right w:val="nil"/>
            </w:tcBorders>
            <w:shd w:val="clear" w:color="auto" w:fill="auto"/>
            <w:noWrap/>
            <w:vAlign w:val="bottom"/>
          </w:tcPr>
          <w:p w:rsidR="00387232" w:rsidRPr="00387232" w:rsidRDefault="00387232" w:rsidP="004C12B8">
            <w:pPr>
              <w:jc w:val="left"/>
              <w:rPr>
                <w:rFonts w:ascii="Calibri" w:hAnsi="Calibri" w:cs="Arial"/>
                <w:bCs/>
                <w:lang w:eastAsia="en-GB"/>
              </w:rPr>
            </w:pPr>
            <w:r>
              <w:rPr>
                <w:rFonts w:ascii="Calibri" w:hAnsi="Calibri" w:cs="Arial"/>
                <w:bCs/>
                <w:lang w:eastAsia="en-GB"/>
              </w:rPr>
              <w:t>Derivatives</w:t>
            </w:r>
          </w:p>
        </w:tc>
        <w:tc>
          <w:tcPr>
            <w:tcW w:w="672" w:type="dxa"/>
            <w:tcBorders>
              <w:top w:val="nil"/>
              <w:left w:val="nil"/>
              <w:bottom w:val="nil"/>
              <w:right w:val="nil"/>
            </w:tcBorders>
            <w:shd w:val="clear" w:color="auto" w:fill="auto"/>
            <w:noWrap/>
            <w:vAlign w:val="bottom"/>
          </w:tcPr>
          <w:p w:rsidR="00387232" w:rsidRPr="006A44C0" w:rsidRDefault="00387232" w:rsidP="004C12B8">
            <w:pPr>
              <w:jc w:val="center"/>
              <w:rPr>
                <w:rFonts w:ascii="Calibri" w:hAnsi="Calibri" w:cs="Arial"/>
                <w:sz w:val="20"/>
                <w:szCs w:val="20"/>
                <w:lang w:eastAsia="en-GB"/>
              </w:rPr>
            </w:pPr>
          </w:p>
        </w:tc>
        <w:tc>
          <w:tcPr>
            <w:tcW w:w="1995" w:type="dxa"/>
            <w:tcBorders>
              <w:top w:val="nil"/>
              <w:left w:val="nil"/>
              <w:right w:val="nil"/>
            </w:tcBorders>
            <w:shd w:val="clear" w:color="auto" w:fill="auto"/>
            <w:noWrap/>
            <w:vAlign w:val="bottom"/>
          </w:tcPr>
          <w:p w:rsidR="00387232" w:rsidRPr="006A44C0" w:rsidRDefault="00E14A1B" w:rsidP="004C12B8">
            <w:pPr>
              <w:jc w:val="right"/>
              <w:rPr>
                <w:rFonts w:ascii="Calibri" w:hAnsi="Calibri" w:cs="Arial"/>
                <w:lang w:eastAsia="en-GB"/>
              </w:rPr>
            </w:pPr>
            <w:r>
              <w:rPr>
                <w:rFonts w:ascii="Calibri" w:hAnsi="Calibri" w:cs="Arial"/>
                <w:lang w:eastAsia="en-GB"/>
              </w:rPr>
              <w:t xml:space="preserve">            -</w:t>
            </w:r>
            <w:r w:rsidR="00387232" w:rsidRPr="006A44C0">
              <w:rPr>
                <w:rFonts w:ascii="Calibri" w:hAnsi="Calibri" w:cs="Arial"/>
                <w:lang w:eastAsia="en-GB"/>
              </w:rPr>
              <w:t xml:space="preserve"> </w:t>
            </w:r>
          </w:p>
        </w:tc>
        <w:tc>
          <w:tcPr>
            <w:tcW w:w="2552" w:type="dxa"/>
            <w:tcBorders>
              <w:top w:val="nil"/>
              <w:left w:val="nil"/>
              <w:right w:val="nil"/>
            </w:tcBorders>
            <w:shd w:val="clear" w:color="auto" w:fill="auto"/>
            <w:noWrap/>
            <w:vAlign w:val="bottom"/>
          </w:tcPr>
          <w:p w:rsidR="00387232" w:rsidRPr="006A44C0" w:rsidRDefault="00E14A1B" w:rsidP="004C12B8">
            <w:pPr>
              <w:jc w:val="right"/>
              <w:rPr>
                <w:rFonts w:ascii="Calibri" w:hAnsi="Calibri" w:cs="Arial"/>
                <w:lang w:eastAsia="en-GB"/>
              </w:rPr>
            </w:pPr>
            <w:r>
              <w:rPr>
                <w:rFonts w:ascii="Calibri" w:hAnsi="Calibri" w:cs="Arial"/>
                <w:lang w:eastAsia="en-GB"/>
              </w:rPr>
              <w:t xml:space="preserve">          91</w:t>
            </w:r>
            <w:r w:rsidR="00387232" w:rsidRPr="006A44C0">
              <w:rPr>
                <w:rFonts w:ascii="Calibri" w:hAnsi="Calibri" w:cs="Arial"/>
                <w:lang w:eastAsia="en-GB"/>
              </w:rPr>
              <w:t xml:space="preserve"> </w:t>
            </w:r>
          </w:p>
        </w:tc>
      </w:tr>
      <w:tr w:rsidR="00387232" w:rsidRPr="006A44C0" w:rsidTr="00387232">
        <w:trPr>
          <w:divId w:val="1937246360"/>
          <w:trHeight w:val="241"/>
        </w:trPr>
        <w:tc>
          <w:tcPr>
            <w:tcW w:w="3570" w:type="dxa"/>
            <w:tcBorders>
              <w:top w:val="nil"/>
              <w:left w:val="nil"/>
              <w:bottom w:val="nil"/>
              <w:right w:val="nil"/>
            </w:tcBorders>
            <w:shd w:val="clear" w:color="auto" w:fill="auto"/>
            <w:noWrap/>
            <w:vAlign w:val="bottom"/>
            <w:hideMark/>
          </w:tcPr>
          <w:p w:rsidR="00387232" w:rsidRPr="006A44C0" w:rsidRDefault="00387232" w:rsidP="004C12B8">
            <w:pPr>
              <w:jc w:val="left"/>
              <w:rPr>
                <w:rFonts w:ascii="Calibri" w:hAnsi="Calibri" w:cs="Arial"/>
                <w:lang w:eastAsia="en-GB"/>
              </w:rPr>
            </w:pPr>
            <w:r w:rsidRPr="006A44C0">
              <w:rPr>
                <w:rFonts w:ascii="Calibri" w:hAnsi="Calibri" w:cs="Arial"/>
                <w:lang w:eastAsia="en-GB"/>
              </w:rPr>
              <w:t>Other receivables</w:t>
            </w:r>
          </w:p>
        </w:tc>
        <w:tc>
          <w:tcPr>
            <w:tcW w:w="672" w:type="dxa"/>
            <w:tcBorders>
              <w:top w:val="nil"/>
              <w:left w:val="nil"/>
              <w:bottom w:val="nil"/>
              <w:right w:val="nil"/>
            </w:tcBorders>
            <w:shd w:val="clear" w:color="auto" w:fill="auto"/>
            <w:noWrap/>
            <w:vAlign w:val="bottom"/>
            <w:hideMark/>
          </w:tcPr>
          <w:p w:rsidR="00387232" w:rsidRPr="006A44C0" w:rsidRDefault="00387232" w:rsidP="004C12B8">
            <w:pPr>
              <w:jc w:val="center"/>
              <w:rPr>
                <w:rFonts w:ascii="Calibri" w:hAnsi="Calibri" w:cs="Arial"/>
                <w:sz w:val="20"/>
                <w:szCs w:val="20"/>
                <w:lang w:eastAsia="en-GB"/>
              </w:rPr>
            </w:pPr>
          </w:p>
        </w:tc>
        <w:tc>
          <w:tcPr>
            <w:tcW w:w="1995" w:type="dxa"/>
            <w:tcBorders>
              <w:top w:val="nil"/>
              <w:left w:val="nil"/>
              <w:bottom w:val="single" w:sz="4" w:space="0" w:color="auto"/>
              <w:right w:val="nil"/>
            </w:tcBorders>
            <w:shd w:val="clear" w:color="auto" w:fill="auto"/>
            <w:noWrap/>
            <w:vAlign w:val="bottom"/>
            <w:hideMark/>
          </w:tcPr>
          <w:p w:rsidR="00387232" w:rsidRPr="006A44C0" w:rsidRDefault="00E14A1B" w:rsidP="004C12B8">
            <w:pPr>
              <w:jc w:val="right"/>
              <w:rPr>
                <w:rFonts w:ascii="Calibri" w:hAnsi="Calibri" w:cs="Arial"/>
                <w:lang w:eastAsia="en-GB"/>
              </w:rPr>
            </w:pPr>
            <w:r>
              <w:rPr>
                <w:rFonts w:ascii="Calibri" w:hAnsi="Calibri" w:cs="Arial"/>
                <w:lang w:eastAsia="en-GB"/>
              </w:rPr>
              <w:t xml:space="preserve">       -</w:t>
            </w:r>
            <w:r w:rsidR="00387232" w:rsidRPr="006A44C0">
              <w:rPr>
                <w:rFonts w:ascii="Calibri" w:hAnsi="Calibri" w:cs="Arial"/>
                <w:lang w:eastAsia="en-GB"/>
              </w:rPr>
              <w:t xml:space="preserve"> </w:t>
            </w:r>
          </w:p>
        </w:tc>
        <w:tc>
          <w:tcPr>
            <w:tcW w:w="2552" w:type="dxa"/>
            <w:tcBorders>
              <w:top w:val="nil"/>
              <w:left w:val="nil"/>
              <w:bottom w:val="single" w:sz="4" w:space="0" w:color="auto"/>
              <w:right w:val="nil"/>
            </w:tcBorders>
            <w:shd w:val="clear" w:color="auto" w:fill="auto"/>
            <w:noWrap/>
            <w:vAlign w:val="bottom"/>
            <w:hideMark/>
          </w:tcPr>
          <w:p w:rsidR="00387232" w:rsidRPr="006A44C0" w:rsidRDefault="00387232" w:rsidP="00E14A1B">
            <w:pPr>
              <w:jc w:val="right"/>
              <w:rPr>
                <w:rFonts w:ascii="Calibri" w:hAnsi="Calibri" w:cs="Arial"/>
                <w:lang w:eastAsia="en-GB"/>
              </w:rPr>
            </w:pPr>
            <w:r w:rsidRPr="006A44C0">
              <w:rPr>
                <w:rFonts w:ascii="Calibri" w:hAnsi="Calibri" w:cs="Arial"/>
                <w:lang w:eastAsia="en-GB"/>
              </w:rPr>
              <w:t xml:space="preserve">            </w:t>
            </w:r>
            <w:r w:rsidR="00E14A1B">
              <w:rPr>
                <w:rFonts w:ascii="Calibri" w:hAnsi="Calibri" w:cs="Arial"/>
                <w:lang w:eastAsia="en-GB"/>
              </w:rPr>
              <w:t>1,267</w:t>
            </w:r>
            <w:r w:rsidRPr="006A44C0">
              <w:rPr>
                <w:rFonts w:ascii="Calibri" w:hAnsi="Calibri" w:cs="Arial"/>
                <w:lang w:eastAsia="en-GB"/>
              </w:rPr>
              <w:t xml:space="preserve">   </w:t>
            </w:r>
          </w:p>
        </w:tc>
      </w:tr>
      <w:tr w:rsidR="00387232" w:rsidRPr="006A44C0" w:rsidTr="00387232">
        <w:trPr>
          <w:divId w:val="1937246360"/>
          <w:trHeight w:val="241"/>
        </w:trPr>
        <w:tc>
          <w:tcPr>
            <w:tcW w:w="4242" w:type="dxa"/>
            <w:gridSpan w:val="2"/>
            <w:tcBorders>
              <w:top w:val="nil"/>
              <w:left w:val="nil"/>
              <w:bottom w:val="nil"/>
              <w:right w:val="nil"/>
            </w:tcBorders>
            <w:shd w:val="clear" w:color="auto" w:fill="auto"/>
            <w:noWrap/>
            <w:vAlign w:val="bottom"/>
            <w:hideMark/>
          </w:tcPr>
          <w:p w:rsidR="00387232" w:rsidRPr="006A44C0" w:rsidRDefault="00387232" w:rsidP="006A44C0">
            <w:pPr>
              <w:jc w:val="left"/>
              <w:rPr>
                <w:rFonts w:ascii="Calibri" w:hAnsi="Calibri" w:cs="Arial"/>
                <w:b/>
                <w:bCs/>
                <w:lang w:eastAsia="en-GB"/>
              </w:rPr>
            </w:pPr>
            <w:r w:rsidRPr="006A44C0">
              <w:rPr>
                <w:rFonts w:ascii="Calibri" w:hAnsi="Calibri" w:cs="Arial"/>
                <w:b/>
                <w:bCs/>
                <w:lang w:eastAsia="en-GB"/>
              </w:rPr>
              <w:t>Total non-current assets</w:t>
            </w:r>
          </w:p>
        </w:tc>
        <w:tc>
          <w:tcPr>
            <w:tcW w:w="1995" w:type="dxa"/>
            <w:tcBorders>
              <w:top w:val="single" w:sz="4" w:space="0" w:color="auto"/>
              <w:left w:val="nil"/>
              <w:bottom w:val="nil"/>
              <w:right w:val="nil"/>
            </w:tcBorders>
            <w:shd w:val="clear" w:color="auto" w:fill="auto"/>
            <w:noWrap/>
            <w:vAlign w:val="bottom"/>
            <w:hideMark/>
          </w:tcPr>
          <w:p w:rsidR="00387232" w:rsidRPr="006A44C0" w:rsidRDefault="00E14A1B" w:rsidP="00387232">
            <w:pPr>
              <w:jc w:val="right"/>
              <w:rPr>
                <w:rFonts w:ascii="Calibri" w:hAnsi="Calibri" w:cs="Arial"/>
                <w:lang w:eastAsia="en-GB"/>
              </w:rPr>
            </w:pPr>
            <w:r>
              <w:rPr>
                <w:rFonts w:ascii="Calibri" w:hAnsi="Calibri" w:cs="Arial"/>
                <w:lang w:eastAsia="en-GB"/>
              </w:rPr>
              <w:t xml:space="preserve">     44,375</w:t>
            </w:r>
            <w:r w:rsidR="00387232" w:rsidRPr="006A44C0">
              <w:rPr>
                <w:rFonts w:ascii="Calibri" w:hAnsi="Calibri" w:cs="Arial"/>
                <w:lang w:eastAsia="en-GB"/>
              </w:rPr>
              <w:t xml:space="preserve"> </w:t>
            </w:r>
          </w:p>
        </w:tc>
        <w:tc>
          <w:tcPr>
            <w:tcW w:w="2552" w:type="dxa"/>
            <w:tcBorders>
              <w:top w:val="single" w:sz="4" w:space="0" w:color="auto"/>
              <w:left w:val="nil"/>
              <w:bottom w:val="nil"/>
              <w:right w:val="nil"/>
            </w:tcBorders>
            <w:shd w:val="clear" w:color="auto" w:fill="auto"/>
            <w:noWrap/>
            <w:vAlign w:val="bottom"/>
            <w:hideMark/>
          </w:tcPr>
          <w:p w:rsidR="00387232" w:rsidRPr="006A44C0" w:rsidRDefault="00E14A1B" w:rsidP="006A44C0">
            <w:pPr>
              <w:jc w:val="right"/>
              <w:rPr>
                <w:rFonts w:ascii="Calibri" w:hAnsi="Calibri" w:cs="Arial"/>
                <w:lang w:eastAsia="en-GB"/>
              </w:rPr>
            </w:pPr>
            <w:r>
              <w:rPr>
                <w:rFonts w:ascii="Calibri" w:hAnsi="Calibri" w:cs="Arial"/>
                <w:lang w:eastAsia="en-GB"/>
              </w:rPr>
              <w:t xml:space="preserve">     45,627</w:t>
            </w:r>
            <w:r w:rsidR="00387232" w:rsidRPr="006A44C0">
              <w:rPr>
                <w:rFonts w:ascii="Calibri" w:hAnsi="Calibri" w:cs="Arial"/>
                <w:lang w:eastAsia="en-GB"/>
              </w:rPr>
              <w:t xml:space="preserve"> </w:t>
            </w:r>
          </w:p>
        </w:tc>
      </w:tr>
      <w:tr w:rsidR="00387232" w:rsidRPr="006A44C0" w:rsidTr="006A44C0">
        <w:trPr>
          <w:divId w:val="1937246360"/>
          <w:trHeight w:val="241"/>
        </w:trPr>
        <w:tc>
          <w:tcPr>
            <w:tcW w:w="3570" w:type="dxa"/>
            <w:tcBorders>
              <w:top w:val="nil"/>
              <w:left w:val="nil"/>
              <w:bottom w:val="nil"/>
              <w:right w:val="nil"/>
            </w:tcBorders>
            <w:shd w:val="clear" w:color="auto" w:fill="auto"/>
            <w:noWrap/>
            <w:vAlign w:val="bottom"/>
            <w:hideMark/>
          </w:tcPr>
          <w:p w:rsidR="00387232" w:rsidRDefault="00387232" w:rsidP="006A44C0">
            <w:pPr>
              <w:jc w:val="left"/>
              <w:rPr>
                <w:rFonts w:ascii="Calibri" w:hAnsi="Calibri" w:cs="Arial"/>
                <w:b/>
                <w:bCs/>
                <w:lang w:eastAsia="en-GB"/>
              </w:rPr>
            </w:pPr>
          </w:p>
          <w:p w:rsidR="00387232" w:rsidRPr="006A44C0" w:rsidRDefault="00387232" w:rsidP="006A44C0">
            <w:pPr>
              <w:jc w:val="left"/>
              <w:rPr>
                <w:rFonts w:ascii="Calibri" w:hAnsi="Calibri" w:cs="Arial"/>
                <w:b/>
                <w:bCs/>
                <w:lang w:eastAsia="en-GB"/>
              </w:rPr>
            </w:pPr>
            <w:r w:rsidRPr="006A44C0">
              <w:rPr>
                <w:rFonts w:ascii="Calibri" w:hAnsi="Calibri" w:cs="Arial"/>
                <w:b/>
                <w:bCs/>
                <w:lang w:eastAsia="en-GB"/>
              </w:rPr>
              <w:t>Current assets</w:t>
            </w:r>
          </w:p>
        </w:tc>
        <w:tc>
          <w:tcPr>
            <w:tcW w:w="672" w:type="dxa"/>
            <w:tcBorders>
              <w:top w:val="nil"/>
              <w:left w:val="nil"/>
              <w:bottom w:val="nil"/>
              <w:right w:val="nil"/>
            </w:tcBorders>
            <w:shd w:val="clear" w:color="auto" w:fill="auto"/>
            <w:noWrap/>
            <w:vAlign w:val="bottom"/>
            <w:hideMark/>
          </w:tcPr>
          <w:p w:rsidR="00387232" w:rsidRPr="006A44C0" w:rsidRDefault="00387232" w:rsidP="006A44C0">
            <w:pPr>
              <w:rPr>
                <w:rFonts w:ascii="Calibri" w:hAnsi="Calibri" w:cs="Arial"/>
                <w:sz w:val="20"/>
                <w:szCs w:val="20"/>
                <w:lang w:eastAsia="en-GB"/>
              </w:rPr>
            </w:pPr>
          </w:p>
        </w:tc>
        <w:tc>
          <w:tcPr>
            <w:tcW w:w="1995" w:type="dxa"/>
            <w:tcBorders>
              <w:top w:val="nil"/>
              <w:left w:val="nil"/>
              <w:bottom w:val="nil"/>
              <w:right w:val="nil"/>
            </w:tcBorders>
            <w:shd w:val="clear" w:color="auto" w:fill="auto"/>
            <w:noWrap/>
            <w:vAlign w:val="bottom"/>
            <w:hideMark/>
          </w:tcPr>
          <w:p w:rsidR="00387232" w:rsidRPr="006A44C0" w:rsidRDefault="00387232" w:rsidP="006A44C0">
            <w:pPr>
              <w:jc w:val="right"/>
              <w:rPr>
                <w:rFonts w:ascii="Calibri" w:hAnsi="Calibri" w:cs="Arial"/>
                <w:lang w:eastAsia="en-GB"/>
              </w:rPr>
            </w:pPr>
          </w:p>
        </w:tc>
        <w:tc>
          <w:tcPr>
            <w:tcW w:w="2552" w:type="dxa"/>
            <w:tcBorders>
              <w:top w:val="nil"/>
              <w:left w:val="nil"/>
              <w:bottom w:val="nil"/>
              <w:right w:val="nil"/>
            </w:tcBorders>
            <w:shd w:val="clear" w:color="auto" w:fill="auto"/>
            <w:noWrap/>
            <w:vAlign w:val="bottom"/>
            <w:hideMark/>
          </w:tcPr>
          <w:p w:rsidR="00387232" w:rsidRPr="006A44C0" w:rsidRDefault="00387232" w:rsidP="006A44C0">
            <w:pPr>
              <w:jc w:val="right"/>
              <w:rPr>
                <w:rFonts w:ascii="Calibri" w:hAnsi="Calibri" w:cs="Arial"/>
                <w:lang w:eastAsia="en-GB"/>
              </w:rPr>
            </w:pPr>
          </w:p>
        </w:tc>
      </w:tr>
      <w:tr w:rsidR="00387232" w:rsidRPr="006A44C0" w:rsidTr="00387232">
        <w:trPr>
          <w:divId w:val="1937246360"/>
          <w:trHeight w:val="241"/>
        </w:trPr>
        <w:tc>
          <w:tcPr>
            <w:tcW w:w="3570" w:type="dxa"/>
            <w:tcBorders>
              <w:top w:val="nil"/>
              <w:left w:val="nil"/>
              <w:bottom w:val="nil"/>
              <w:right w:val="nil"/>
            </w:tcBorders>
            <w:shd w:val="clear" w:color="auto" w:fill="auto"/>
            <w:noWrap/>
            <w:vAlign w:val="bottom"/>
            <w:hideMark/>
          </w:tcPr>
          <w:p w:rsidR="00387232" w:rsidRPr="006A44C0" w:rsidRDefault="00387232" w:rsidP="006A44C0">
            <w:pPr>
              <w:jc w:val="left"/>
              <w:rPr>
                <w:rFonts w:ascii="Calibri" w:hAnsi="Calibri" w:cs="Arial"/>
                <w:lang w:eastAsia="en-GB"/>
              </w:rPr>
            </w:pPr>
            <w:r w:rsidRPr="006A44C0">
              <w:rPr>
                <w:rFonts w:ascii="Calibri" w:hAnsi="Calibri" w:cs="Arial"/>
                <w:lang w:eastAsia="en-GB"/>
              </w:rPr>
              <w:t>Inventories</w:t>
            </w:r>
          </w:p>
        </w:tc>
        <w:tc>
          <w:tcPr>
            <w:tcW w:w="672" w:type="dxa"/>
            <w:tcBorders>
              <w:top w:val="nil"/>
              <w:left w:val="nil"/>
              <w:bottom w:val="nil"/>
              <w:right w:val="nil"/>
            </w:tcBorders>
            <w:shd w:val="clear" w:color="auto" w:fill="auto"/>
            <w:noWrap/>
            <w:vAlign w:val="bottom"/>
          </w:tcPr>
          <w:p w:rsidR="00387232" w:rsidRPr="006A44C0" w:rsidRDefault="00387232" w:rsidP="006A44C0">
            <w:pPr>
              <w:ind w:right="-402"/>
              <w:rPr>
                <w:rFonts w:ascii="Calibri" w:hAnsi="Calibri" w:cs="Arial"/>
                <w:sz w:val="20"/>
                <w:szCs w:val="20"/>
                <w:lang w:eastAsia="en-GB"/>
              </w:rPr>
            </w:pPr>
          </w:p>
        </w:tc>
        <w:tc>
          <w:tcPr>
            <w:tcW w:w="1995" w:type="dxa"/>
            <w:tcBorders>
              <w:top w:val="nil"/>
              <w:left w:val="nil"/>
              <w:bottom w:val="nil"/>
              <w:right w:val="nil"/>
            </w:tcBorders>
            <w:shd w:val="clear" w:color="auto" w:fill="auto"/>
            <w:noWrap/>
            <w:vAlign w:val="bottom"/>
            <w:hideMark/>
          </w:tcPr>
          <w:p w:rsidR="00387232" w:rsidRPr="006A44C0" w:rsidRDefault="00387232" w:rsidP="00E14A1B">
            <w:pPr>
              <w:jc w:val="right"/>
              <w:rPr>
                <w:rFonts w:ascii="Calibri" w:hAnsi="Calibri" w:cs="Arial"/>
                <w:lang w:eastAsia="en-GB"/>
              </w:rPr>
            </w:pPr>
            <w:r>
              <w:rPr>
                <w:rFonts w:ascii="Calibri" w:hAnsi="Calibri" w:cs="Arial"/>
                <w:lang w:eastAsia="en-GB"/>
              </w:rPr>
              <w:t>6,0</w:t>
            </w:r>
            <w:r w:rsidR="00E14A1B">
              <w:rPr>
                <w:rFonts w:ascii="Calibri" w:hAnsi="Calibri" w:cs="Arial"/>
                <w:lang w:eastAsia="en-GB"/>
              </w:rPr>
              <w:t>84</w:t>
            </w:r>
            <w:r w:rsidRPr="006A44C0">
              <w:rPr>
                <w:rFonts w:ascii="Calibri" w:hAnsi="Calibri" w:cs="Arial"/>
                <w:lang w:eastAsia="en-GB"/>
              </w:rPr>
              <w:t xml:space="preserve"> </w:t>
            </w:r>
          </w:p>
        </w:tc>
        <w:tc>
          <w:tcPr>
            <w:tcW w:w="2552" w:type="dxa"/>
            <w:tcBorders>
              <w:top w:val="nil"/>
              <w:left w:val="nil"/>
              <w:bottom w:val="nil"/>
              <w:right w:val="nil"/>
            </w:tcBorders>
            <w:shd w:val="clear" w:color="auto" w:fill="auto"/>
            <w:noWrap/>
            <w:vAlign w:val="bottom"/>
            <w:hideMark/>
          </w:tcPr>
          <w:p w:rsidR="00387232" w:rsidRPr="006A44C0" w:rsidRDefault="00387232" w:rsidP="00E14A1B">
            <w:pPr>
              <w:jc w:val="right"/>
              <w:rPr>
                <w:rFonts w:ascii="Calibri" w:hAnsi="Calibri" w:cs="Arial"/>
                <w:lang w:eastAsia="en-GB"/>
              </w:rPr>
            </w:pPr>
            <w:r w:rsidRPr="006A44C0">
              <w:rPr>
                <w:rFonts w:ascii="Calibri" w:hAnsi="Calibri" w:cs="Arial"/>
                <w:lang w:eastAsia="en-GB"/>
              </w:rPr>
              <w:t xml:space="preserve">       </w:t>
            </w:r>
            <w:r w:rsidR="00E14A1B">
              <w:rPr>
                <w:rFonts w:ascii="Calibri" w:hAnsi="Calibri" w:cs="Arial"/>
                <w:lang w:eastAsia="en-GB"/>
              </w:rPr>
              <w:t>6,307</w:t>
            </w:r>
            <w:r w:rsidRPr="006A44C0">
              <w:rPr>
                <w:rFonts w:ascii="Calibri" w:hAnsi="Calibri" w:cs="Arial"/>
                <w:lang w:eastAsia="en-GB"/>
              </w:rPr>
              <w:t xml:space="preserve"> </w:t>
            </w:r>
          </w:p>
        </w:tc>
      </w:tr>
      <w:tr w:rsidR="00387232" w:rsidRPr="006A44C0" w:rsidTr="006A44C0">
        <w:trPr>
          <w:divId w:val="1937246360"/>
          <w:trHeight w:val="241"/>
        </w:trPr>
        <w:tc>
          <w:tcPr>
            <w:tcW w:w="3570" w:type="dxa"/>
            <w:tcBorders>
              <w:top w:val="nil"/>
              <w:left w:val="nil"/>
              <w:bottom w:val="nil"/>
              <w:right w:val="nil"/>
            </w:tcBorders>
            <w:shd w:val="clear" w:color="auto" w:fill="auto"/>
            <w:noWrap/>
            <w:vAlign w:val="bottom"/>
            <w:hideMark/>
          </w:tcPr>
          <w:p w:rsidR="00387232" w:rsidRPr="006A44C0" w:rsidRDefault="00387232" w:rsidP="006A44C0">
            <w:pPr>
              <w:jc w:val="left"/>
              <w:rPr>
                <w:rFonts w:ascii="Calibri" w:hAnsi="Calibri" w:cs="Arial"/>
                <w:lang w:eastAsia="en-GB"/>
              </w:rPr>
            </w:pPr>
            <w:r w:rsidRPr="006A44C0">
              <w:rPr>
                <w:rFonts w:ascii="Calibri" w:hAnsi="Calibri" w:cs="Arial"/>
                <w:lang w:eastAsia="en-GB"/>
              </w:rPr>
              <w:t>Trade and other receivables</w:t>
            </w:r>
          </w:p>
        </w:tc>
        <w:tc>
          <w:tcPr>
            <w:tcW w:w="672" w:type="dxa"/>
            <w:tcBorders>
              <w:top w:val="nil"/>
              <w:left w:val="nil"/>
              <w:bottom w:val="nil"/>
              <w:right w:val="nil"/>
            </w:tcBorders>
            <w:shd w:val="clear" w:color="auto" w:fill="auto"/>
            <w:noWrap/>
            <w:vAlign w:val="bottom"/>
            <w:hideMark/>
          </w:tcPr>
          <w:p w:rsidR="00387232" w:rsidRPr="006A44C0" w:rsidRDefault="00387232" w:rsidP="006A44C0">
            <w:pPr>
              <w:rPr>
                <w:rFonts w:ascii="Calibri" w:hAnsi="Calibri" w:cs="Arial"/>
                <w:sz w:val="20"/>
                <w:szCs w:val="20"/>
                <w:lang w:eastAsia="en-GB"/>
              </w:rPr>
            </w:pPr>
          </w:p>
        </w:tc>
        <w:tc>
          <w:tcPr>
            <w:tcW w:w="1995" w:type="dxa"/>
            <w:tcBorders>
              <w:top w:val="nil"/>
              <w:left w:val="nil"/>
              <w:bottom w:val="nil"/>
              <w:right w:val="nil"/>
            </w:tcBorders>
            <w:shd w:val="clear" w:color="auto" w:fill="auto"/>
            <w:noWrap/>
            <w:vAlign w:val="bottom"/>
            <w:hideMark/>
          </w:tcPr>
          <w:p w:rsidR="00387232" w:rsidRPr="006A44C0" w:rsidRDefault="00E14A1B" w:rsidP="00E14A1B">
            <w:pPr>
              <w:jc w:val="right"/>
              <w:rPr>
                <w:rFonts w:ascii="Calibri" w:hAnsi="Calibri" w:cs="Arial"/>
                <w:lang w:eastAsia="en-GB"/>
              </w:rPr>
            </w:pPr>
            <w:r>
              <w:rPr>
                <w:rFonts w:ascii="Calibri" w:hAnsi="Calibri" w:cs="Arial"/>
                <w:lang w:eastAsia="en-GB"/>
              </w:rPr>
              <w:t xml:space="preserve">       7</w:t>
            </w:r>
            <w:r w:rsidR="00387232" w:rsidRPr="006A44C0">
              <w:rPr>
                <w:rFonts w:ascii="Calibri" w:hAnsi="Calibri" w:cs="Arial"/>
                <w:lang w:eastAsia="en-GB"/>
              </w:rPr>
              <w:t>,3</w:t>
            </w:r>
            <w:r>
              <w:rPr>
                <w:rFonts w:ascii="Calibri" w:hAnsi="Calibri" w:cs="Arial"/>
                <w:lang w:eastAsia="en-GB"/>
              </w:rPr>
              <w:t>46</w:t>
            </w:r>
            <w:r w:rsidR="00387232" w:rsidRPr="006A44C0">
              <w:rPr>
                <w:rFonts w:ascii="Calibri" w:hAnsi="Calibri" w:cs="Arial"/>
                <w:lang w:eastAsia="en-GB"/>
              </w:rPr>
              <w:t xml:space="preserve"> </w:t>
            </w:r>
          </w:p>
        </w:tc>
        <w:tc>
          <w:tcPr>
            <w:tcW w:w="2552" w:type="dxa"/>
            <w:tcBorders>
              <w:top w:val="nil"/>
              <w:left w:val="nil"/>
              <w:bottom w:val="nil"/>
              <w:right w:val="nil"/>
            </w:tcBorders>
            <w:shd w:val="clear" w:color="auto" w:fill="auto"/>
            <w:noWrap/>
            <w:vAlign w:val="bottom"/>
            <w:hideMark/>
          </w:tcPr>
          <w:p w:rsidR="00387232" w:rsidRPr="006A44C0" w:rsidRDefault="00387232" w:rsidP="006A44C0">
            <w:pPr>
              <w:jc w:val="right"/>
              <w:rPr>
                <w:rFonts w:ascii="Calibri" w:hAnsi="Calibri" w:cs="Arial"/>
                <w:lang w:eastAsia="en-GB"/>
              </w:rPr>
            </w:pPr>
            <w:r w:rsidRPr="006A44C0">
              <w:rPr>
                <w:rFonts w:ascii="Calibri" w:hAnsi="Calibri" w:cs="Arial"/>
                <w:lang w:eastAsia="en-GB"/>
              </w:rPr>
              <w:t xml:space="preserve">  </w:t>
            </w:r>
            <w:r w:rsidR="00E14A1B">
              <w:rPr>
                <w:rFonts w:ascii="Calibri" w:hAnsi="Calibri" w:cs="Arial"/>
                <w:lang w:eastAsia="en-GB"/>
              </w:rPr>
              <w:t xml:space="preserve">     6,361</w:t>
            </w:r>
            <w:r w:rsidRPr="006A44C0">
              <w:rPr>
                <w:rFonts w:ascii="Calibri" w:hAnsi="Calibri" w:cs="Arial"/>
                <w:lang w:eastAsia="en-GB"/>
              </w:rPr>
              <w:t xml:space="preserve"> </w:t>
            </w:r>
          </w:p>
        </w:tc>
      </w:tr>
      <w:tr w:rsidR="00387232" w:rsidRPr="006A44C0" w:rsidTr="006A44C0">
        <w:trPr>
          <w:divId w:val="1937246360"/>
          <w:trHeight w:val="241"/>
        </w:trPr>
        <w:tc>
          <w:tcPr>
            <w:tcW w:w="3570" w:type="dxa"/>
            <w:tcBorders>
              <w:top w:val="nil"/>
              <w:left w:val="nil"/>
              <w:bottom w:val="nil"/>
              <w:right w:val="nil"/>
            </w:tcBorders>
            <w:shd w:val="clear" w:color="auto" w:fill="auto"/>
            <w:noWrap/>
            <w:vAlign w:val="bottom"/>
            <w:hideMark/>
          </w:tcPr>
          <w:p w:rsidR="00387232" w:rsidRPr="006A44C0" w:rsidRDefault="00387232" w:rsidP="006A44C0">
            <w:pPr>
              <w:jc w:val="left"/>
              <w:rPr>
                <w:rFonts w:ascii="Calibri" w:hAnsi="Calibri" w:cs="Arial"/>
                <w:lang w:eastAsia="en-GB"/>
              </w:rPr>
            </w:pPr>
            <w:r w:rsidRPr="006A44C0">
              <w:rPr>
                <w:rFonts w:ascii="Calibri" w:hAnsi="Calibri" w:cs="Arial"/>
                <w:lang w:eastAsia="en-GB"/>
              </w:rPr>
              <w:t>Investments</w:t>
            </w:r>
          </w:p>
        </w:tc>
        <w:tc>
          <w:tcPr>
            <w:tcW w:w="672" w:type="dxa"/>
            <w:tcBorders>
              <w:top w:val="nil"/>
              <w:left w:val="nil"/>
              <w:bottom w:val="nil"/>
              <w:right w:val="nil"/>
            </w:tcBorders>
            <w:shd w:val="clear" w:color="auto" w:fill="auto"/>
            <w:noWrap/>
            <w:vAlign w:val="bottom"/>
            <w:hideMark/>
          </w:tcPr>
          <w:p w:rsidR="00387232" w:rsidRPr="006A44C0" w:rsidRDefault="00387232" w:rsidP="006A44C0">
            <w:pPr>
              <w:jc w:val="center"/>
              <w:rPr>
                <w:rFonts w:ascii="Calibri" w:hAnsi="Calibri" w:cs="Arial"/>
                <w:sz w:val="20"/>
                <w:szCs w:val="20"/>
                <w:lang w:eastAsia="en-GB"/>
              </w:rPr>
            </w:pPr>
          </w:p>
        </w:tc>
        <w:tc>
          <w:tcPr>
            <w:tcW w:w="1995" w:type="dxa"/>
            <w:tcBorders>
              <w:top w:val="nil"/>
              <w:left w:val="nil"/>
              <w:bottom w:val="nil"/>
              <w:right w:val="nil"/>
            </w:tcBorders>
            <w:shd w:val="clear" w:color="auto" w:fill="auto"/>
            <w:noWrap/>
            <w:vAlign w:val="bottom"/>
            <w:hideMark/>
          </w:tcPr>
          <w:p w:rsidR="00387232" w:rsidRPr="006A44C0" w:rsidRDefault="00E14A1B" w:rsidP="006A44C0">
            <w:pPr>
              <w:jc w:val="right"/>
              <w:rPr>
                <w:rFonts w:ascii="Calibri" w:hAnsi="Calibri" w:cs="Arial"/>
                <w:lang w:eastAsia="en-GB"/>
              </w:rPr>
            </w:pPr>
            <w:r>
              <w:rPr>
                <w:rFonts w:ascii="Calibri" w:hAnsi="Calibri" w:cs="Arial"/>
                <w:lang w:eastAsia="en-GB"/>
              </w:rPr>
              <w:t xml:space="preserve">            30</w:t>
            </w:r>
            <w:r w:rsidR="00387232" w:rsidRPr="006A44C0">
              <w:rPr>
                <w:rFonts w:ascii="Calibri" w:hAnsi="Calibri" w:cs="Arial"/>
                <w:lang w:eastAsia="en-GB"/>
              </w:rPr>
              <w:t xml:space="preserve"> </w:t>
            </w:r>
          </w:p>
        </w:tc>
        <w:tc>
          <w:tcPr>
            <w:tcW w:w="2552" w:type="dxa"/>
            <w:tcBorders>
              <w:top w:val="nil"/>
              <w:left w:val="nil"/>
              <w:bottom w:val="nil"/>
              <w:right w:val="nil"/>
            </w:tcBorders>
            <w:shd w:val="clear" w:color="auto" w:fill="auto"/>
            <w:noWrap/>
            <w:vAlign w:val="bottom"/>
            <w:hideMark/>
          </w:tcPr>
          <w:p w:rsidR="00387232" w:rsidRPr="006A44C0" w:rsidRDefault="00E14A1B" w:rsidP="006A44C0">
            <w:pPr>
              <w:jc w:val="right"/>
              <w:rPr>
                <w:rFonts w:ascii="Calibri" w:hAnsi="Calibri" w:cs="Arial"/>
                <w:lang w:eastAsia="en-GB"/>
              </w:rPr>
            </w:pPr>
            <w:r>
              <w:rPr>
                <w:rFonts w:ascii="Calibri" w:hAnsi="Calibri" w:cs="Arial"/>
                <w:lang w:eastAsia="en-GB"/>
              </w:rPr>
              <w:t xml:space="preserve">            46</w:t>
            </w:r>
            <w:r w:rsidR="00387232" w:rsidRPr="006A44C0">
              <w:rPr>
                <w:rFonts w:ascii="Calibri" w:hAnsi="Calibri" w:cs="Arial"/>
                <w:lang w:eastAsia="en-GB"/>
              </w:rPr>
              <w:t xml:space="preserve"> </w:t>
            </w:r>
          </w:p>
        </w:tc>
      </w:tr>
      <w:tr w:rsidR="00387232" w:rsidRPr="006A44C0" w:rsidTr="006A44C0">
        <w:trPr>
          <w:divId w:val="1937246360"/>
          <w:trHeight w:val="241"/>
        </w:trPr>
        <w:tc>
          <w:tcPr>
            <w:tcW w:w="4242" w:type="dxa"/>
            <w:gridSpan w:val="2"/>
            <w:tcBorders>
              <w:top w:val="nil"/>
              <w:left w:val="nil"/>
              <w:bottom w:val="nil"/>
              <w:right w:val="nil"/>
            </w:tcBorders>
            <w:shd w:val="clear" w:color="auto" w:fill="auto"/>
            <w:noWrap/>
            <w:vAlign w:val="bottom"/>
            <w:hideMark/>
          </w:tcPr>
          <w:p w:rsidR="00387232" w:rsidRPr="006A44C0" w:rsidRDefault="00387232" w:rsidP="006A44C0">
            <w:pPr>
              <w:jc w:val="left"/>
              <w:rPr>
                <w:rFonts w:ascii="Calibri" w:hAnsi="Calibri" w:cs="Arial"/>
                <w:lang w:eastAsia="en-GB"/>
              </w:rPr>
            </w:pPr>
            <w:r w:rsidRPr="006A44C0">
              <w:rPr>
                <w:rFonts w:ascii="Calibri" w:hAnsi="Calibri" w:cs="Arial"/>
                <w:lang w:eastAsia="en-GB"/>
              </w:rPr>
              <w:t>Cash and cash equivalents</w:t>
            </w:r>
          </w:p>
        </w:tc>
        <w:tc>
          <w:tcPr>
            <w:tcW w:w="1995" w:type="dxa"/>
            <w:tcBorders>
              <w:top w:val="nil"/>
              <w:left w:val="nil"/>
              <w:bottom w:val="single" w:sz="4" w:space="0" w:color="auto"/>
              <w:right w:val="nil"/>
            </w:tcBorders>
            <w:shd w:val="clear" w:color="auto" w:fill="auto"/>
            <w:noWrap/>
            <w:vAlign w:val="bottom"/>
            <w:hideMark/>
          </w:tcPr>
          <w:p w:rsidR="00387232" w:rsidRPr="006A44C0" w:rsidRDefault="00E14A1B" w:rsidP="006A44C0">
            <w:pPr>
              <w:jc w:val="right"/>
              <w:rPr>
                <w:rFonts w:ascii="Calibri" w:hAnsi="Calibri" w:cs="Arial"/>
                <w:lang w:eastAsia="en-GB"/>
              </w:rPr>
            </w:pPr>
            <w:r>
              <w:rPr>
                <w:rFonts w:ascii="Calibri" w:hAnsi="Calibri" w:cs="Arial"/>
                <w:lang w:eastAsia="en-GB"/>
              </w:rPr>
              <w:t xml:space="preserve">       2,809</w:t>
            </w:r>
            <w:r w:rsidR="00387232" w:rsidRPr="006A44C0">
              <w:rPr>
                <w:rFonts w:ascii="Calibri" w:hAnsi="Calibri" w:cs="Arial"/>
                <w:lang w:eastAsia="en-GB"/>
              </w:rPr>
              <w:t xml:space="preserve"> </w:t>
            </w:r>
          </w:p>
        </w:tc>
        <w:tc>
          <w:tcPr>
            <w:tcW w:w="2552" w:type="dxa"/>
            <w:tcBorders>
              <w:top w:val="nil"/>
              <w:left w:val="nil"/>
              <w:bottom w:val="single" w:sz="4" w:space="0" w:color="auto"/>
              <w:right w:val="nil"/>
            </w:tcBorders>
            <w:shd w:val="clear" w:color="auto" w:fill="auto"/>
            <w:noWrap/>
            <w:vAlign w:val="bottom"/>
            <w:hideMark/>
          </w:tcPr>
          <w:p w:rsidR="00387232" w:rsidRPr="006A44C0" w:rsidRDefault="00387232" w:rsidP="006A44C0">
            <w:pPr>
              <w:jc w:val="right"/>
              <w:rPr>
                <w:rFonts w:ascii="Calibri" w:hAnsi="Calibri" w:cs="Arial"/>
                <w:lang w:eastAsia="en-GB"/>
              </w:rPr>
            </w:pPr>
            <w:r w:rsidRPr="006A44C0">
              <w:rPr>
                <w:rFonts w:ascii="Calibri" w:hAnsi="Calibri" w:cs="Arial"/>
                <w:lang w:eastAsia="en-GB"/>
              </w:rPr>
              <w:t xml:space="preserve">            </w:t>
            </w:r>
            <w:r w:rsidR="00E14A1B">
              <w:rPr>
                <w:rFonts w:ascii="Calibri" w:hAnsi="Calibri" w:cs="Arial"/>
                <w:lang w:eastAsia="en-GB"/>
              </w:rPr>
              <w:t>2,1</w:t>
            </w:r>
            <w:r w:rsidRPr="006A44C0">
              <w:rPr>
                <w:rFonts w:ascii="Calibri" w:hAnsi="Calibri" w:cs="Arial"/>
                <w:lang w:eastAsia="en-GB"/>
              </w:rPr>
              <w:t xml:space="preserve">70 </w:t>
            </w:r>
          </w:p>
        </w:tc>
      </w:tr>
      <w:tr w:rsidR="00387232" w:rsidRPr="006A44C0" w:rsidTr="006A44C0">
        <w:trPr>
          <w:divId w:val="1937246360"/>
          <w:trHeight w:val="241"/>
        </w:trPr>
        <w:tc>
          <w:tcPr>
            <w:tcW w:w="3570" w:type="dxa"/>
            <w:tcBorders>
              <w:top w:val="nil"/>
              <w:left w:val="nil"/>
              <w:bottom w:val="nil"/>
              <w:right w:val="nil"/>
            </w:tcBorders>
            <w:shd w:val="clear" w:color="auto" w:fill="auto"/>
            <w:noWrap/>
            <w:vAlign w:val="bottom"/>
            <w:hideMark/>
          </w:tcPr>
          <w:p w:rsidR="00387232" w:rsidRPr="006A44C0" w:rsidRDefault="00387232" w:rsidP="006A44C0">
            <w:pPr>
              <w:jc w:val="left"/>
              <w:rPr>
                <w:rFonts w:ascii="Calibri" w:hAnsi="Calibri" w:cs="Arial"/>
                <w:b/>
                <w:bCs/>
                <w:lang w:eastAsia="en-GB"/>
              </w:rPr>
            </w:pPr>
            <w:r w:rsidRPr="006A44C0">
              <w:rPr>
                <w:rFonts w:ascii="Calibri" w:hAnsi="Calibri" w:cs="Arial"/>
                <w:b/>
                <w:bCs/>
                <w:lang w:eastAsia="en-GB"/>
              </w:rPr>
              <w:t>Total current assets</w:t>
            </w:r>
          </w:p>
        </w:tc>
        <w:tc>
          <w:tcPr>
            <w:tcW w:w="672" w:type="dxa"/>
            <w:tcBorders>
              <w:top w:val="nil"/>
              <w:left w:val="nil"/>
              <w:bottom w:val="nil"/>
              <w:right w:val="nil"/>
            </w:tcBorders>
            <w:shd w:val="clear" w:color="auto" w:fill="auto"/>
            <w:noWrap/>
            <w:vAlign w:val="bottom"/>
            <w:hideMark/>
          </w:tcPr>
          <w:p w:rsidR="00387232" w:rsidRPr="006A44C0" w:rsidRDefault="00387232" w:rsidP="006A44C0">
            <w:pPr>
              <w:jc w:val="center"/>
              <w:rPr>
                <w:rFonts w:ascii="Calibri" w:hAnsi="Calibri" w:cs="Arial"/>
                <w:sz w:val="20"/>
                <w:szCs w:val="20"/>
                <w:lang w:eastAsia="en-GB"/>
              </w:rPr>
            </w:pPr>
          </w:p>
        </w:tc>
        <w:tc>
          <w:tcPr>
            <w:tcW w:w="1995" w:type="dxa"/>
            <w:tcBorders>
              <w:top w:val="nil"/>
              <w:left w:val="nil"/>
              <w:bottom w:val="nil"/>
              <w:right w:val="nil"/>
            </w:tcBorders>
            <w:shd w:val="clear" w:color="auto" w:fill="auto"/>
            <w:noWrap/>
            <w:vAlign w:val="bottom"/>
            <w:hideMark/>
          </w:tcPr>
          <w:p w:rsidR="00387232" w:rsidRPr="006A44C0" w:rsidRDefault="00E14A1B" w:rsidP="006A44C0">
            <w:pPr>
              <w:jc w:val="right"/>
              <w:rPr>
                <w:rFonts w:ascii="Calibri" w:hAnsi="Calibri" w:cs="Arial"/>
                <w:lang w:eastAsia="en-GB"/>
              </w:rPr>
            </w:pPr>
            <w:r>
              <w:rPr>
                <w:rFonts w:ascii="Calibri" w:hAnsi="Calibri" w:cs="Arial"/>
                <w:lang w:eastAsia="en-GB"/>
              </w:rPr>
              <w:t xml:space="preserve">     16,269</w:t>
            </w:r>
            <w:r w:rsidR="00387232" w:rsidRPr="006A44C0">
              <w:rPr>
                <w:rFonts w:ascii="Calibri" w:hAnsi="Calibri" w:cs="Arial"/>
                <w:lang w:eastAsia="en-GB"/>
              </w:rPr>
              <w:t xml:space="preserve"> </w:t>
            </w:r>
          </w:p>
        </w:tc>
        <w:tc>
          <w:tcPr>
            <w:tcW w:w="2552" w:type="dxa"/>
            <w:tcBorders>
              <w:top w:val="nil"/>
              <w:left w:val="nil"/>
              <w:bottom w:val="nil"/>
              <w:right w:val="nil"/>
            </w:tcBorders>
            <w:shd w:val="clear" w:color="auto" w:fill="auto"/>
            <w:noWrap/>
            <w:vAlign w:val="bottom"/>
            <w:hideMark/>
          </w:tcPr>
          <w:p w:rsidR="00387232" w:rsidRPr="006A44C0" w:rsidRDefault="00E14A1B" w:rsidP="00E14A1B">
            <w:pPr>
              <w:jc w:val="right"/>
              <w:rPr>
                <w:rFonts w:ascii="Calibri" w:hAnsi="Calibri" w:cs="Arial"/>
                <w:lang w:eastAsia="en-GB"/>
              </w:rPr>
            </w:pPr>
            <w:r>
              <w:rPr>
                <w:rFonts w:ascii="Calibri" w:hAnsi="Calibri" w:cs="Arial"/>
                <w:lang w:eastAsia="en-GB"/>
              </w:rPr>
              <w:t xml:space="preserve">     14</w:t>
            </w:r>
            <w:r w:rsidR="00387232" w:rsidRPr="006A44C0">
              <w:rPr>
                <w:rFonts w:ascii="Calibri" w:hAnsi="Calibri" w:cs="Arial"/>
                <w:lang w:eastAsia="en-GB"/>
              </w:rPr>
              <w:t>,</w:t>
            </w:r>
            <w:r w:rsidR="00821868">
              <w:rPr>
                <w:rFonts w:ascii="Calibri" w:hAnsi="Calibri" w:cs="Arial"/>
                <w:lang w:eastAsia="en-GB"/>
              </w:rPr>
              <w:t>8</w:t>
            </w:r>
            <w:r>
              <w:rPr>
                <w:rFonts w:ascii="Calibri" w:hAnsi="Calibri" w:cs="Arial"/>
                <w:lang w:eastAsia="en-GB"/>
              </w:rPr>
              <w:t>84</w:t>
            </w:r>
            <w:r w:rsidR="00387232" w:rsidRPr="006A44C0">
              <w:rPr>
                <w:rFonts w:ascii="Calibri" w:hAnsi="Calibri" w:cs="Arial"/>
                <w:lang w:eastAsia="en-GB"/>
              </w:rPr>
              <w:t xml:space="preserve"> </w:t>
            </w:r>
          </w:p>
        </w:tc>
      </w:tr>
      <w:tr w:rsidR="00387232" w:rsidRPr="006A44C0" w:rsidTr="00387232">
        <w:trPr>
          <w:divId w:val="1937246360"/>
          <w:trHeight w:val="241"/>
        </w:trPr>
        <w:tc>
          <w:tcPr>
            <w:tcW w:w="3570" w:type="dxa"/>
            <w:tcBorders>
              <w:top w:val="nil"/>
              <w:left w:val="nil"/>
              <w:bottom w:val="nil"/>
              <w:right w:val="nil"/>
            </w:tcBorders>
            <w:shd w:val="clear" w:color="auto" w:fill="auto"/>
            <w:noWrap/>
            <w:vAlign w:val="bottom"/>
          </w:tcPr>
          <w:p w:rsidR="00387232" w:rsidRPr="006A44C0" w:rsidRDefault="00387232" w:rsidP="006A44C0">
            <w:pPr>
              <w:jc w:val="left"/>
              <w:rPr>
                <w:rFonts w:ascii="Calibri" w:hAnsi="Calibri" w:cs="Arial"/>
                <w:lang w:eastAsia="en-GB"/>
              </w:rPr>
            </w:pPr>
          </w:p>
        </w:tc>
        <w:tc>
          <w:tcPr>
            <w:tcW w:w="672" w:type="dxa"/>
            <w:tcBorders>
              <w:top w:val="nil"/>
              <w:left w:val="nil"/>
              <w:bottom w:val="nil"/>
              <w:right w:val="nil"/>
            </w:tcBorders>
            <w:shd w:val="clear" w:color="auto" w:fill="auto"/>
            <w:noWrap/>
            <w:vAlign w:val="bottom"/>
          </w:tcPr>
          <w:p w:rsidR="00387232" w:rsidRPr="006A44C0" w:rsidRDefault="00387232" w:rsidP="006A44C0">
            <w:pPr>
              <w:jc w:val="center"/>
              <w:rPr>
                <w:rFonts w:ascii="Calibri" w:hAnsi="Calibri" w:cs="Arial"/>
                <w:sz w:val="20"/>
                <w:szCs w:val="20"/>
                <w:lang w:eastAsia="en-GB"/>
              </w:rPr>
            </w:pPr>
          </w:p>
        </w:tc>
        <w:tc>
          <w:tcPr>
            <w:tcW w:w="1995" w:type="dxa"/>
            <w:tcBorders>
              <w:top w:val="nil"/>
              <w:left w:val="nil"/>
              <w:bottom w:val="nil"/>
              <w:right w:val="nil"/>
            </w:tcBorders>
            <w:shd w:val="clear" w:color="auto" w:fill="auto"/>
            <w:noWrap/>
            <w:vAlign w:val="bottom"/>
          </w:tcPr>
          <w:p w:rsidR="00387232" w:rsidRPr="006A44C0" w:rsidRDefault="00387232" w:rsidP="006A44C0">
            <w:pPr>
              <w:jc w:val="right"/>
              <w:rPr>
                <w:rFonts w:ascii="Calibri" w:hAnsi="Calibri" w:cs="Arial"/>
                <w:lang w:eastAsia="en-GB"/>
              </w:rPr>
            </w:pPr>
          </w:p>
        </w:tc>
        <w:tc>
          <w:tcPr>
            <w:tcW w:w="2552" w:type="dxa"/>
            <w:tcBorders>
              <w:top w:val="nil"/>
              <w:left w:val="nil"/>
              <w:bottom w:val="nil"/>
              <w:right w:val="nil"/>
            </w:tcBorders>
            <w:shd w:val="clear" w:color="auto" w:fill="auto"/>
            <w:noWrap/>
            <w:vAlign w:val="bottom"/>
          </w:tcPr>
          <w:p w:rsidR="00387232" w:rsidRPr="006A44C0" w:rsidRDefault="00387232" w:rsidP="006A44C0">
            <w:pPr>
              <w:jc w:val="right"/>
              <w:rPr>
                <w:rFonts w:ascii="Calibri" w:hAnsi="Calibri" w:cs="Arial"/>
                <w:lang w:eastAsia="en-GB"/>
              </w:rPr>
            </w:pPr>
          </w:p>
        </w:tc>
      </w:tr>
      <w:tr w:rsidR="00387232" w:rsidRPr="006A44C0" w:rsidTr="006A44C0">
        <w:trPr>
          <w:divId w:val="1937246360"/>
          <w:trHeight w:val="253"/>
        </w:trPr>
        <w:tc>
          <w:tcPr>
            <w:tcW w:w="3570" w:type="dxa"/>
            <w:tcBorders>
              <w:top w:val="nil"/>
              <w:left w:val="nil"/>
              <w:bottom w:val="nil"/>
              <w:right w:val="nil"/>
            </w:tcBorders>
            <w:shd w:val="clear" w:color="auto" w:fill="auto"/>
            <w:noWrap/>
            <w:vAlign w:val="bottom"/>
            <w:hideMark/>
          </w:tcPr>
          <w:p w:rsidR="00387232" w:rsidRPr="006A44C0" w:rsidRDefault="00387232" w:rsidP="006A44C0">
            <w:pPr>
              <w:jc w:val="left"/>
              <w:rPr>
                <w:rFonts w:ascii="Calibri" w:hAnsi="Calibri" w:cs="Arial"/>
                <w:b/>
                <w:bCs/>
                <w:lang w:eastAsia="en-GB"/>
              </w:rPr>
            </w:pPr>
            <w:r w:rsidRPr="006A44C0">
              <w:rPr>
                <w:rFonts w:ascii="Calibri" w:hAnsi="Calibri" w:cs="Arial"/>
                <w:b/>
                <w:bCs/>
                <w:lang w:eastAsia="en-GB"/>
              </w:rPr>
              <w:t>Total assets</w:t>
            </w:r>
          </w:p>
        </w:tc>
        <w:tc>
          <w:tcPr>
            <w:tcW w:w="672" w:type="dxa"/>
            <w:tcBorders>
              <w:top w:val="nil"/>
              <w:left w:val="nil"/>
              <w:bottom w:val="nil"/>
              <w:right w:val="nil"/>
            </w:tcBorders>
            <w:shd w:val="clear" w:color="auto" w:fill="auto"/>
            <w:noWrap/>
            <w:vAlign w:val="bottom"/>
            <w:hideMark/>
          </w:tcPr>
          <w:p w:rsidR="00387232" w:rsidRPr="006A44C0" w:rsidRDefault="00387232" w:rsidP="006A44C0">
            <w:pPr>
              <w:jc w:val="center"/>
              <w:rPr>
                <w:rFonts w:ascii="Calibri" w:hAnsi="Calibri" w:cs="Arial"/>
                <w:sz w:val="20"/>
                <w:szCs w:val="20"/>
                <w:lang w:eastAsia="en-GB"/>
              </w:rPr>
            </w:pPr>
          </w:p>
        </w:tc>
        <w:tc>
          <w:tcPr>
            <w:tcW w:w="1995" w:type="dxa"/>
            <w:tcBorders>
              <w:top w:val="single" w:sz="4" w:space="0" w:color="auto"/>
              <w:left w:val="nil"/>
              <w:bottom w:val="single" w:sz="8" w:space="0" w:color="auto"/>
              <w:right w:val="nil"/>
            </w:tcBorders>
            <w:shd w:val="clear" w:color="auto" w:fill="auto"/>
            <w:noWrap/>
            <w:vAlign w:val="bottom"/>
            <w:hideMark/>
          </w:tcPr>
          <w:p w:rsidR="00387232" w:rsidRPr="006A44C0" w:rsidRDefault="00387232" w:rsidP="00E14A1B">
            <w:pPr>
              <w:jc w:val="right"/>
              <w:rPr>
                <w:rFonts w:ascii="Calibri" w:hAnsi="Calibri" w:cs="Arial"/>
                <w:lang w:eastAsia="en-GB"/>
              </w:rPr>
            </w:pPr>
            <w:r w:rsidRPr="006A44C0">
              <w:rPr>
                <w:rFonts w:ascii="Calibri" w:hAnsi="Calibri" w:cs="Arial"/>
                <w:lang w:eastAsia="en-GB"/>
              </w:rPr>
              <w:t xml:space="preserve">     </w:t>
            </w:r>
            <w:r>
              <w:rPr>
                <w:rFonts w:ascii="Calibri" w:hAnsi="Calibri" w:cs="Arial"/>
                <w:lang w:eastAsia="en-GB"/>
              </w:rPr>
              <w:t>60,</w:t>
            </w:r>
            <w:r w:rsidR="00E14A1B">
              <w:rPr>
                <w:rFonts w:ascii="Calibri" w:hAnsi="Calibri" w:cs="Arial"/>
                <w:lang w:eastAsia="en-GB"/>
              </w:rPr>
              <w:t>644</w:t>
            </w:r>
            <w:r w:rsidRPr="006A44C0">
              <w:rPr>
                <w:rFonts w:ascii="Calibri" w:hAnsi="Calibri" w:cs="Arial"/>
                <w:lang w:eastAsia="en-GB"/>
              </w:rPr>
              <w:t xml:space="preserve"> </w:t>
            </w:r>
          </w:p>
        </w:tc>
        <w:tc>
          <w:tcPr>
            <w:tcW w:w="2552" w:type="dxa"/>
            <w:tcBorders>
              <w:top w:val="single" w:sz="4" w:space="0" w:color="auto"/>
              <w:left w:val="nil"/>
              <w:bottom w:val="single" w:sz="8" w:space="0" w:color="auto"/>
              <w:right w:val="nil"/>
            </w:tcBorders>
            <w:shd w:val="clear" w:color="auto" w:fill="auto"/>
            <w:noWrap/>
            <w:vAlign w:val="bottom"/>
            <w:hideMark/>
          </w:tcPr>
          <w:p w:rsidR="00387232" w:rsidRPr="006A44C0" w:rsidRDefault="00387232" w:rsidP="00E14A1B">
            <w:pPr>
              <w:jc w:val="right"/>
              <w:rPr>
                <w:rFonts w:ascii="Calibri" w:hAnsi="Calibri" w:cs="Arial"/>
                <w:lang w:eastAsia="en-GB"/>
              </w:rPr>
            </w:pPr>
            <w:r w:rsidRPr="006A44C0">
              <w:rPr>
                <w:rFonts w:ascii="Calibri" w:hAnsi="Calibri" w:cs="Arial"/>
                <w:lang w:eastAsia="en-GB"/>
              </w:rPr>
              <w:t xml:space="preserve">     6</w:t>
            </w:r>
            <w:r w:rsidR="00E14A1B">
              <w:rPr>
                <w:rFonts w:ascii="Calibri" w:hAnsi="Calibri" w:cs="Arial"/>
                <w:lang w:eastAsia="en-GB"/>
              </w:rPr>
              <w:t>0</w:t>
            </w:r>
            <w:r w:rsidRPr="006A44C0">
              <w:rPr>
                <w:rFonts w:ascii="Calibri" w:hAnsi="Calibri" w:cs="Arial"/>
                <w:lang w:eastAsia="en-GB"/>
              </w:rPr>
              <w:t>,5</w:t>
            </w:r>
            <w:r w:rsidR="00E14A1B">
              <w:rPr>
                <w:rFonts w:ascii="Calibri" w:hAnsi="Calibri" w:cs="Arial"/>
                <w:lang w:eastAsia="en-GB"/>
              </w:rPr>
              <w:t>11</w:t>
            </w:r>
            <w:r w:rsidRPr="006A44C0">
              <w:rPr>
                <w:rFonts w:ascii="Calibri" w:hAnsi="Calibri" w:cs="Arial"/>
                <w:lang w:eastAsia="en-GB"/>
              </w:rPr>
              <w:t xml:space="preserve"> </w:t>
            </w:r>
          </w:p>
        </w:tc>
      </w:tr>
      <w:tr w:rsidR="00387232" w:rsidRPr="006A44C0" w:rsidTr="006A44C0">
        <w:trPr>
          <w:divId w:val="1937246360"/>
          <w:trHeight w:val="241"/>
        </w:trPr>
        <w:tc>
          <w:tcPr>
            <w:tcW w:w="3570" w:type="dxa"/>
            <w:tcBorders>
              <w:top w:val="nil"/>
              <w:left w:val="nil"/>
              <w:bottom w:val="nil"/>
              <w:right w:val="nil"/>
            </w:tcBorders>
            <w:shd w:val="clear" w:color="auto" w:fill="auto"/>
            <w:noWrap/>
            <w:vAlign w:val="bottom"/>
            <w:hideMark/>
          </w:tcPr>
          <w:p w:rsidR="00387232" w:rsidRPr="006A44C0" w:rsidRDefault="00387232" w:rsidP="006A44C0">
            <w:pPr>
              <w:jc w:val="left"/>
              <w:rPr>
                <w:rFonts w:ascii="Calibri" w:hAnsi="Calibri" w:cs="Arial"/>
                <w:lang w:eastAsia="en-GB"/>
              </w:rPr>
            </w:pPr>
          </w:p>
        </w:tc>
        <w:tc>
          <w:tcPr>
            <w:tcW w:w="672" w:type="dxa"/>
            <w:tcBorders>
              <w:top w:val="nil"/>
              <w:left w:val="nil"/>
              <w:bottom w:val="nil"/>
              <w:right w:val="nil"/>
            </w:tcBorders>
            <w:shd w:val="clear" w:color="auto" w:fill="auto"/>
            <w:noWrap/>
            <w:vAlign w:val="bottom"/>
            <w:hideMark/>
          </w:tcPr>
          <w:p w:rsidR="00387232" w:rsidRPr="006A44C0" w:rsidRDefault="00387232" w:rsidP="006A44C0">
            <w:pPr>
              <w:jc w:val="center"/>
              <w:rPr>
                <w:rFonts w:ascii="Calibri" w:hAnsi="Calibri" w:cs="Arial"/>
                <w:sz w:val="20"/>
                <w:szCs w:val="20"/>
                <w:lang w:eastAsia="en-GB"/>
              </w:rPr>
            </w:pPr>
          </w:p>
        </w:tc>
        <w:tc>
          <w:tcPr>
            <w:tcW w:w="1995" w:type="dxa"/>
            <w:tcBorders>
              <w:top w:val="nil"/>
              <w:left w:val="nil"/>
              <w:bottom w:val="nil"/>
              <w:right w:val="nil"/>
            </w:tcBorders>
            <w:shd w:val="clear" w:color="auto" w:fill="auto"/>
            <w:noWrap/>
            <w:vAlign w:val="bottom"/>
            <w:hideMark/>
          </w:tcPr>
          <w:p w:rsidR="00387232" w:rsidRPr="006A44C0" w:rsidRDefault="00387232" w:rsidP="006A44C0">
            <w:pPr>
              <w:jc w:val="right"/>
              <w:rPr>
                <w:rFonts w:ascii="Calibri" w:hAnsi="Calibri" w:cs="Arial"/>
                <w:lang w:eastAsia="en-GB"/>
              </w:rPr>
            </w:pPr>
          </w:p>
        </w:tc>
        <w:tc>
          <w:tcPr>
            <w:tcW w:w="2552" w:type="dxa"/>
            <w:tcBorders>
              <w:top w:val="nil"/>
              <w:left w:val="nil"/>
              <w:bottom w:val="nil"/>
              <w:right w:val="nil"/>
            </w:tcBorders>
            <w:shd w:val="clear" w:color="auto" w:fill="auto"/>
            <w:noWrap/>
            <w:vAlign w:val="bottom"/>
            <w:hideMark/>
          </w:tcPr>
          <w:p w:rsidR="00387232" w:rsidRPr="006A44C0" w:rsidRDefault="00387232" w:rsidP="006A44C0">
            <w:pPr>
              <w:jc w:val="left"/>
              <w:rPr>
                <w:rFonts w:ascii="Calibri" w:hAnsi="Calibri" w:cs="Arial"/>
                <w:lang w:eastAsia="en-GB"/>
              </w:rPr>
            </w:pPr>
          </w:p>
        </w:tc>
      </w:tr>
      <w:tr w:rsidR="00387232" w:rsidRPr="006A44C0" w:rsidTr="006A44C0">
        <w:trPr>
          <w:divId w:val="1937246360"/>
          <w:trHeight w:val="241"/>
        </w:trPr>
        <w:tc>
          <w:tcPr>
            <w:tcW w:w="3570" w:type="dxa"/>
            <w:tcBorders>
              <w:top w:val="nil"/>
              <w:left w:val="nil"/>
              <w:bottom w:val="nil"/>
              <w:right w:val="nil"/>
            </w:tcBorders>
            <w:shd w:val="clear" w:color="auto" w:fill="auto"/>
            <w:noWrap/>
            <w:vAlign w:val="bottom"/>
            <w:hideMark/>
          </w:tcPr>
          <w:p w:rsidR="00387232" w:rsidRPr="006A44C0" w:rsidRDefault="00387232" w:rsidP="006A44C0">
            <w:pPr>
              <w:jc w:val="left"/>
              <w:rPr>
                <w:rFonts w:ascii="Calibri" w:hAnsi="Calibri" w:cs="Arial"/>
                <w:b/>
                <w:bCs/>
                <w:lang w:eastAsia="en-GB"/>
              </w:rPr>
            </w:pPr>
            <w:r w:rsidRPr="006A44C0">
              <w:rPr>
                <w:rFonts w:ascii="Calibri" w:hAnsi="Calibri" w:cs="Arial"/>
                <w:b/>
                <w:bCs/>
                <w:lang w:eastAsia="en-GB"/>
              </w:rPr>
              <w:t>Liabilities</w:t>
            </w:r>
          </w:p>
        </w:tc>
        <w:tc>
          <w:tcPr>
            <w:tcW w:w="672" w:type="dxa"/>
            <w:tcBorders>
              <w:top w:val="nil"/>
              <w:left w:val="nil"/>
              <w:bottom w:val="nil"/>
              <w:right w:val="nil"/>
            </w:tcBorders>
            <w:shd w:val="clear" w:color="auto" w:fill="auto"/>
            <w:noWrap/>
            <w:vAlign w:val="bottom"/>
            <w:hideMark/>
          </w:tcPr>
          <w:p w:rsidR="00387232" w:rsidRPr="006A44C0" w:rsidRDefault="00387232" w:rsidP="006A44C0">
            <w:pPr>
              <w:jc w:val="center"/>
              <w:rPr>
                <w:rFonts w:ascii="Calibri" w:hAnsi="Calibri" w:cs="Arial"/>
                <w:sz w:val="20"/>
                <w:szCs w:val="20"/>
                <w:lang w:eastAsia="en-GB"/>
              </w:rPr>
            </w:pPr>
          </w:p>
        </w:tc>
        <w:tc>
          <w:tcPr>
            <w:tcW w:w="1995" w:type="dxa"/>
            <w:tcBorders>
              <w:top w:val="nil"/>
              <w:left w:val="nil"/>
              <w:bottom w:val="nil"/>
              <w:right w:val="nil"/>
            </w:tcBorders>
            <w:shd w:val="clear" w:color="auto" w:fill="auto"/>
            <w:noWrap/>
            <w:vAlign w:val="bottom"/>
            <w:hideMark/>
          </w:tcPr>
          <w:p w:rsidR="00387232" w:rsidRPr="006A44C0" w:rsidRDefault="00387232" w:rsidP="006A44C0">
            <w:pPr>
              <w:jc w:val="right"/>
              <w:rPr>
                <w:rFonts w:ascii="Calibri" w:hAnsi="Calibri" w:cs="Arial"/>
                <w:lang w:eastAsia="en-GB"/>
              </w:rPr>
            </w:pPr>
          </w:p>
        </w:tc>
        <w:tc>
          <w:tcPr>
            <w:tcW w:w="2552" w:type="dxa"/>
            <w:tcBorders>
              <w:top w:val="nil"/>
              <w:left w:val="nil"/>
              <w:bottom w:val="nil"/>
              <w:right w:val="nil"/>
            </w:tcBorders>
            <w:shd w:val="clear" w:color="auto" w:fill="auto"/>
            <w:noWrap/>
            <w:vAlign w:val="bottom"/>
            <w:hideMark/>
          </w:tcPr>
          <w:p w:rsidR="00387232" w:rsidRPr="006A44C0" w:rsidRDefault="00387232" w:rsidP="006A44C0">
            <w:pPr>
              <w:jc w:val="left"/>
              <w:rPr>
                <w:rFonts w:ascii="Calibri" w:hAnsi="Calibri" w:cs="Arial"/>
                <w:lang w:eastAsia="en-GB"/>
              </w:rPr>
            </w:pPr>
          </w:p>
        </w:tc>
      </w:tr>
      <w:tr w:rsidR="00387232" w:rsidRPr="006A44C0" w:rsidTr="006A44C0">
        <w:trPr>
          <w:divId w:val="1937246360"/>
          <w:trHeight w:val="241"/>
        </w:trPr>
        <w:tc>
          <w:tcPr>
            <w:tcW w:w="3570" w:type="dxa"/>
            <w:tcBorders>
              <w:top w:val="nil"/>
              <w:left w:val="nil"/>
              <w:bottom w:val="nil"/>
              <w:right w:val="nil"/>
            </w:tcBorders>
            <w:shd w:val="clear" w:color="auto" w:fill="auto"/>
            <w:noWrap/>
            <w:vAlign w:val="bottom"/>
            <w:hideMark/>
          </w:tcPr>
          <w:p w:rsidR="00387232" w:rsidRPr="006A44C0" w:rsidRDefault="00387232" w:rsidP="006A44C0">
            <w:pPr>
              <w:jc w:val="left"/>
              <w:rPr>
                <w:rFonts w:ascii="Calibri" w:hAnsi="Calibri" w:cs="Arial"/>
                <w:lang w:eastAsia="en-GB"/>
              </w:rPr>
            </w:pPr>
          </w:p>
        </w:tc>
        <w:tc>
          <w:tcPr>
            <w:tcW w:w="672" w:type="dxa"/>
            <w:tcBorders>
              <w:top w:val="nil"/>
              <w:left w:val="nil"/>
              <w:bottom w:val="nil"/>
              <w:right w:val="nil"/>
            </w:tcBorders>
            <w:shd w:val="clear" w:color="auto" w:fill="auto"/>
            <w:noWrap/>
            <w:vAlign w:val="bottom"/>
            <w:hideMark/>
          </w:tcPr>
          <w:p w:rsidR="00387232" w:rsidRPr="006A44C0" w:rsidRDefault="00387232" w:rsidP="006A44C0">
            <w:pPr>
              <w:jc w:val="center"/>
              <w:rPr>
                <w:rFonts w:ascii="Calibri" w:hAnsi="Calibri" w:cs="Arial"/>
                <w:sz w:val="20"/>
                <w:szCs w:val="20"/>
                <w:lang w:eastAsia="en-GB"/>
              </w:rPr>
            </w:pPr>
          </w:p>
        </w:tc>
        <w:tc>
          <w:tcPr>
            <w:tcW w:w="1995" w:type="dxa"/>
            <w:tcBorders>
              <w:top w:val="nil"/>
              <w:left w:val="nil"/>
              <w:bottom w:val="nil"/>
              <w:right w:val="nil"/>
            </w:tcBorders>
            <w:shd w:val="clear" w:color="auto" w:fill="auto"/>
            <w:noWrap/>
            <w:vAlign w:val="bottom"/>
            <w:hideMark/>
          </w:tcPr>
          <w:p w:rsidR="00387232" w:rsidRPr="006A44C0" w:rsidRDefault="00387232" w:rsidP="006A44C0">
            <w:pPr>
              <w:jc w:val="right"/>
              <w:rPr>
                <w:rFonts w:ascii="Calibri" w:hAnsi="Calibri" w:cs="Arial"/>
                <w:lang w:eastAsia="en-GB"/>
              </w:rPr>
            </w:pPr>
          </w:p>
        </w:tc>
        <w:tc>
          <w:tcPr>
            <w:tcW w:w="2552" w:type="dxa"/>
            <w:tcBorders>
              <w:top w:val="nil"/>
              <w:left w:val="nil"/>
              <w:bottom w:val="nil"/>
              <w:right w:val="nil"/>
            </w:tcBorders>
            <w:shd w:val="clear" w:color="auto" w:fill="auto"/>
            <w:noWrap/>
            <w:vAlign w:val="bottom"/>
            <w:hideMark/>
          </w:tcPr>
          <w:p w:rsidR="00387232" w:rsidRPr="006A44C0" w:rsidRDefault="00387232" w:rsidP="006A44C0">
            <w:pPr>
              <w:jc w:val="left"/>
              <w:rPr>
                <w:rFonts w:ascii="Calibri" w:hAnsi="Calibri" w:cs="Arial"/>
                <w:lang w:eastAsia="en-GB"/>
              </w:rPr>
            </w:pPr>
          </w:p>
        </w:tc>
      </w:tr>
      <w:tr w:rsidR="00387232" w:rsidRPr="006A44C0" w:rsidTr="006A44C0">
        <w:trPr>
          <w:divId w:val="1937246360"/>
          <w:trHeight w:val="241"/>
        </w:trPr>
        <w:tc>
          <w:tcPr>
            <w:tcW w:w="3570" w:type="dxa"/>
            <w:tcBorders>
              <w:top w:val="nil"/>
              <w:left w:val="nil"/>
              <w:bottom w:val="nil"/>
              <w:right w:val="nil"/>
            </w:tcBorders>
            <w:shd w:val="clear" w:color="auto" w:fill="auto"/>
            <w:noWrap/>
            <w:vAlign w:val="bottom"/>
            <w:hideMark/>
          </w:tcPr>
          <w:p w:rsidR="00387232" w:rsidRPr="006A44C0" w:rsidRDefault="00387232" w:rsidP="006A44C0">
            <w:pPr>
              <w:jc w:val="left"/>
              <w:rPr>
                <w:rFonts w:ascii="Calibri" w:hAnsi="Calibri" w:cs="Arial"/>
                <w:b/>
                <w:bCs/>
                <w:lang w:eastAsia="en-GB"/>
              </w:rPr>
            </w:pPr>
            <w:r w:rsidRPr="006A44C0">
              <w:rPr>
                <w:rFonts w:ascii="Calibri" w:hAnsi="Calibri" w:cs="Arial"/>
                <w:b/>
                <w:bCs/>
                <w:lang w:eastAsia="en-GB"/>
              </w:rPr>
              <w:t>Current liabilities</w:t>
            </w:r>
          </w:p>
        </w:tc>
        <w:tc>
          <w:tcPr>
            <w:tcW w:w="672" w:type="dxa"/>
            <w:tcBorders>
              <w:top w:val="nil"/>
              <w:left w:val="nil"/>
              <w:bottom w:val="nil"/>
              <w:right w:val="nil"/>
            </w:tcBorders>
            <w:shd w:val="clear" w:color="auto" w:fill="auto"/>
            <w:noWrap/>
            <w:vAlign w:val="bottom"/>
            <w:hideMark/>
          </w:tcPr>
          <w:p w:rsidR="00387232" w:rsidRPr="006A44C0" w:rsidRDefault="00387232" w:rsidP="006A44C0">
            <w:pPr>
              <w:jc w:val="center"/>
              <w:rPr>
                <w:rFonts w:ascii="Calibri" w:hAnsi="Calibri" w:cs="Arial"/>
                <w:sz w:val="20"/>
                <w:szCs w:val="20"/>
                <w:lang w:eastAsia="en-GB"/>
              </w:rPr>
            </w:pPr>
          </w:p>
        </w:tc>
        <w:tc>
          <w:tcPr>
            <w:tcW w:w="1995" w:type="dxa"/>
            <w:tcBorders>
              <w:top w:val="nil"/>
              <w:left w:val="nil"/>
              <w:bottom w:val="nil"/>
              <w:right w:val="nil"/>
            </w:tcBorders>
            <w:shd w:val="clear" w:color="auto" w:fill="auto"/>
            <w:noWrap/>
            <w:vAlign w:val="bottom"/>
            <w:hideMark/>
          </w:tcPr>
          <w:p w:rsidR="00387232" w:rsidRPr="006A44C0" w:rsidRDefault="00387232" w:rsidP="006A44C0">
            <w:pPr>
              <w:jc w:val="right"/>
              <w:rPr>
                <w:rFonts w:ascii="Calibri" w:hAnsi="Calibri" w:cs="Arial"/>
                <w:lang w:eastAsia="en-GB"/>
              </w:rPr>
            </w:pPr>
          </w:p>
        </w:tc>
        <w:tc>
          <w:tcPr>
            <w:tcW w:w="2552" w:type="dxa"/>
            <w:tcBorders>
              <w:top w:val="nil"/>
              <w:left w:val="nil"/>
              <w:bottom w:val="nil"/>
              <w:right w:val="nil"/>
            </w:tcBorders>
            <w:shd w:val="clear" w:color="auto" w:fill="auto"/>
            <w:noWrap/>
            <w:vAlign w:val="bottom"/>
            <w:hideMark/>
          </w:tcPr>
          <w:p w:rsidR="00387232" w:rsidRPr="006A44C0" w:rsidRDefault="00387232" w:rsidP="006A44C0">
            <w:pPr>
              <w:jc w:val="left"/>
              <w:rPr>
                <w:rFonts w:ascii="Calibri" w:hAnsi="Calibri" w:cs="Arial"/>
                <w:lang w:eastAsia="en-GB"/>
              </w:rPr>
            </w:pPr>
          </w:p>
        </w:tc>
      </w:tr>
      <w:tr w:rsidR="00387232" w:rsidRPr="006A44C0" w:rsidTr="006A44C0">
        <w:trPr>
          <w:divId w:val="1937246360"/>
          <w:trHeight w:val="241"/>
        </w:trPr>
        <w:tc>
          <w:tcPr>
            <w:tcW w:w="3570" w:type="dxa"/>
            <w:tcBorders>
              <w:top w:val="nil"/>
              <w:left w:val="nil"/>
              <w:bottom w:val="nil"/>
              <w:right w:val="nil"/>
            </w:tcBorders>
            <w:shd w:val="clear" w:color="auto" w:fill="auto"/>
            <w:noWrap/>
            <w:vAlign w:val="bottom"/>
            <w:hideMark/>
          </w:tcPr>
          <w:p w:rsidR="00387232" w:rsidRPr="006A44C0" w:rsidRDefault="00387232" w:rsidP="006A44C0">
            <w:pPr>
              <w:jc w:val="left"/>
              <w:rPr>
                <w:rFonts w:ascii="Calibri" w:hAnsi="Calibri" w:cs="Arial"/>
                <w:lang w:eastAsia="en-GB"/>
              </w:rPr>
            </w:pPr>
            <w:r w:rsidRPr="006A44C0">
              <w:rPr>
                <w:rFonts w:ascii="Calibri" w:hAnsi="Calibri" w:cs="Arial"/>
                <w:lang w:eastAsia="en-GB"/>
              </w:rPr>
              <w:t>Trade and other payables</w:t>
            </w:r>
          </w:p>
        </w:tc>
        <w:tc>
          <w:tcPr>
            <w:tcW w:w="672" w:type="dxa"/>
            <w:tcBorders>
              <w:top w:val="nil"/>
              <w:left w:val="nil"/>
              <w:bottom w:val="nil"/>
              <w:right w:val="nil"/>
            </w:tcBorders>
            <w:shd w:val="clear" w:color="auto" w:fill="auto"/>
            <w:noWrap/>
            <w:vAlign w:val="bottom"/>
            <w:hideMark/>
          </w:tcPr>
          <w:p w:rsidR="00387232" w:rsidRPr="006A44C0" w:rsidRDefault="00387232" w:rsidP="006A44C0">
            <w:pPr>
              <w:jc w:val="center"/>
              <w:rPr>
                <w:rFonts w:ascii="Calibri" w:hAnsi="Calibri" w:cs="Arial"/>
                <w:sz w:val="20"/>
                <w:szCs w:val="20"/>
                <w:lang w:eastAsia="en-GB"/>
              </w:rPr>
            </w:pPr>
          </w:p>
        </w:tc>
        <w:tc>
          <w:tcPr>
            <w:tcW w:w="1995" w:type="dxa"/>
            <w:tcBorders>
              <w:top w:val="nil"/>
              <w:left w:val="nil"/>
              <w:bottom w:val="nil"/>
              <w:right w:val="nil"/>
            </w:tcBorders>
            <w:shd w:val="clear" w:color="auto" w:fill="auto"/>
            <w:noWrap/>
            <w:vAlign w:val="bottom"/>
            <w:hideMark/>
          </w:tcPr>
          <w:p w:rsidR="00387232" w:rsidRPr="006A44C0" w:rsidRDefault="00E14A1B" w:rsidP="006A44C0">
            <w:pPr>
              <w:jc w:val="right"/>
              <w:rPr>
                <w:rFonts w:ascii="Calibri" w:hAnsi="Calibri" w:cs="Arial"/>
                <w:lang w:eastAsia="en-GB"/>
              </w:rPr>
            </w:pPr>
            <w:r>
              <w:rPr>
                <w:rFonts w:ascii="Calibri" w:hAnsi="Calibri" w:cs="Arial"/>
                <w:lang w:eastAsia="en-GB"/>
              </w:rPr>
              <w:t>3,940</w:t>
            </w:r>
            <w:r w:rsidR="00387232" w:rsidRPr="006A44C0">
              <w:rPr>
                <w:rFonts w:ascii="Calibri" w:hAnsi="Calibri" w:cs="Arial"/>
                <w:lang w:eastAsia="en-GB"/>
              </w:rPr>
              <w:t xml:space="preserve"> </w:t>
            </w:r>
          </w:p>
        </w:tc>
        <w:tc>
          <w:tcPr>
            <w:tcW w:w="2552" w:type="dxa"/>
            <w:tcBorders>
              <w:top w:val="nil"/>
              <w:left w:val="nil"/>
              <w:bottom w:val="nil"/>
              <w:right w:val="nil"/>
            </w:tcBorders>
            <w:shd w:val="clear" w:color="auto" w:fill="auto"/>
            <w:noWrap/>
            <w:vAlign w:val="bottom"/>
            <w:hideMark/>
          </w:tcPr>
          <w:p w:rsidR="00387232" w:rsidRPr="006A44C0" w:rsidRDefault="00E14A1B" w:rsidP="006A44C0">
            <w:pPr>
              <w:jc w:val="right"/>
              <w:rPr>
                <w:rFonts w:ascii="Calibri" w:hAnsi="Calibri" w:cs="Arial"/>
                <w:lang w:eastAsia="en-GB"/>
              </w:rPr>
            </w:pPr>
            <w:r>
              <w:rPr>
                <w:rFonts w:ascii="Calibri" w:hAnsi="Calibri" w:cs="Arial"/>
                <w:lang w:eastAsia="en-GB"/>
              </w:rPr>
              <w:t>3,900</w:t>
            </w:r>
            <w:r w:rsidR="00387232" w:rsidRPr="006A44C0">
              <w:rPr>
                <w:rFonts w:ascii="Calibri" w:hAnsi="Calibri" w:cs="Arial"/>
                <w:lang w:eastAsia="en-GB"/>
              </w:rPr>
              <w:t xml:space="preserve"> </w:t>
            </w:r>
          </w:p>
        </w:tc>
      </w:tr>
      <w:tr w:rsidR="00387232" w:rsidRPr="006A44C0" w:rsidTr="006A44C0">
        <w:trPr>
          <w:divId w:val="1937246360"/>
          <w:trHeight w:val="241"/>
        </w:trPr>
        <w:tc>
          <w:tcPr>
            <w:tcW w:w="3570" w:type="dxa"/>
            <w:tcBorders>
              <w:top w:val="nil"/>
              <w:left w:val="nil"/>
              <w:bottom w:val="nil"/>
              <w:right w:val="nil"/>
            </w:tcBorders>
            <w:shd w:val="clear" w:color="auto" w:fill="auto"/>
            <w:noWrap/>
            <w:vAlign w:val="bottom"/>
          </w:tcPr>
          <w:p w:rsidR="00387232" w:rsidRPr="006A44C0" w:rsidRDefault="00387232" w:rsidP="004C12B8">
            <w:pPr>
              <w:jc w:val="left"/>
              <w:rPr>
                <w:rFonts w:ascii="Calibri" w:hAnsi="Calibri" w:cs="Arial"/>
                <w:lang w:eastAsia="en-GB"/>
              </w:rPr>
            </w:pPr>
            <w:r w:rsidRPr="006A44C0">
              <w:rPr>
                <w:rFonts w:ascii="Calibri" w:hAnsi="Calibri" w:cs="Arial"/>
                <w:lang w:eastAsia="en-GB"/>
              </w:rPr>
              <w:t>Provisions</w:t>
            </w:r>
          </w:p>
        </w:tc>
        <w:tc>
          <w:tcPr>
            <w:tcW w:w="672" w:type="dxa"/>
            <w:tcBorders>
              <w:top w:val="nil"/>
              <w:left w:val="nil"/>
              <w:bottom w:val="nil"/>
              <w:right w:val="nil"/>
            </w:tcBorders>
            <w:shd w:val="clear" w:color="auto" w:fill="auto"/>
            <w:noWrap/>
            <w:vAlign w:val="bottom"/>
          </w:tcPr>
          <w:p w:rsidR="00387232" w:rsidRPr="006A44C0" w:rsidRDefault="00387232" w:rsidP="004C12B8">
            <w:pPr>
              <w:jc w:val="center"/>
              <w:rPr>
                <w:rFonts w:ascii="Calibri" w:hAnsi="Calibri" w:cs="Arial"/>
                <w:sz w:val="20"/>
                <w:szCs w:val="20"/>
                <w:lang w:eastAsia="en-GB"/>
              </w:rPr>
            </w:pPr>
          </w:p>
        </w:tc>
        <w:tc>
          <w:tcPr>
            <w:tcW w:w="1995" w:type="dxa"/>
            <w:tcBorders>
              <w:top w:val="nil"/>
              <w:left w:val="nil"/>
              <w:bottom w:val="nil"/>
              <w:right w:val="nil"/>
            </w:tcBorders>
            <w:shd w:val="clear" w:color="auto" w:fill="auto"/>
            <w:noWrap/>
            <w:vAlign w:val="bottom"/>
          </w:tcPr>
          <w:p w:rsidR="00387232" w:rsidRPr="006A44C0" w:rsidRDefault="00E14A1B" w:rsidP="004C12B8">
            <w:pPr>
              <w:jc w:val="right"/>
              <w:rPr>
                <w:rFonts w:ascii="Calibri" w:hAnsi="Calibri" w:cs="Arial"/>
                <w:lang w:eastAsia="en-GB"/>
              </w:rPr>
            </w:pPr>
            <w:r>
              <w:rPr>
                <w:rFonts w:ascii="Calibri" w:hAnsi="Calibri" w:cs="Arial"/>
                <w:lang w:eastAsia="en-GB"/>
              </w:rPr>
              <w:t>112</w:t>
            </w:r>
            <w:r w:rsidR="00387232" w:rsidRPr="006A44C0">
              <w:rPr>
                <w:rFonts w:ascii="Calibri" w:hAnsi="Calibri" w:cs="Arial"/>
                <w:lang w:eastAsia="en-GB"/>
              </w:rPr>
              <w:t xml:space="preserve"> </w:t>
            </w:r>
          </w:p>
        </w:tc>
        <w:tc>
          <w:tcPr>
            <w:tcW w:w="2552" w:type="dxa"/>
            <w:tcBorders>
              <w:top w:val="nil"/>
              <w:left w:val="nil"/>
              <w:bottom w:val="nil"/>
              <w:right w:val="nil"/>
            </w:tcBorders>
            <w:shd w:val="clear" w:color="auto" w:fill="auto"/>
            <w:noWrap/>
            <w:vAlign w:val="bottom"/>
          </w:tcPr>
          <w:p w:rsidR="00387232" w:rsidRPr="006A44C0" w:rsidRDefault="00E14A1B" w:rsidP="004C12B8">
            <w:pPr>
              <w:jc w:val="right"/>
              <w:rPr>
                <w:rFonts w:ascii="Calibri" w:hAnsi="Calibri" w:cs="Arial"/>
                <w:lang w:eastAsia="en-GB"/>
              </w:rPr>
            </w:pPr>
            <w:r>
              <w:rPr>
                <w:rFonts w:ascii="Calibri" w:hAnsi="Calibri" w:cs="Arial"/>
                <w:lang w:eastAsia="en-GB"/>
              </w:rPr>
              <w:t>337</w:t>
            </w:r>
          </w:p>
        </w:tc>
      </w:tr>
      <w:tr w:rsidR="00387232" w:rsidRPr="006A44C0" w:rsidTr="006A44C0">
        <w:trPr>
          <w:divId w:val="1937246360"/>
          <w:trHeight w:val="241"/>
        </w:trPr>
        <w:tc>
          <w:tcPr>
            <w:tcW w:w="3570" w:type="dxa"/>
            <w:tcBorders>
              <w:top w:val="nil"/>
              <w:left w:val="nil"/>
              <w:bottom w:val="nil"/>
              <w:right w:val="nil"/>
            </w:tcBorders>
            <w:shd w:val="clear" w:color="auto" w:fill="auto"/>
            <w:noWrap/>
            <w:vAlign w:val="bottom"/>
            <w:hideMark/>
          </w:tcPr>
          <w:p w:rsidR="00387232" w:rsidRPr="006A44C0" w:rsidRDefault="00387232" w:rsidP="006A44C0">
            <w:pPr>
              <w:jc w:val="left"/>
              <w:rPr>
                <w:rFonts w:ascii="Calibri" w:hAnsi="Calibri" w:cs="Arial"/>
                <w:lang w:eastAsia="en-GB"/>
              </w:rPr>
            </w:pPr>
            <w:r w:rsidRPr="006A44C0">
              <w:rPr>
                <w:rFonts w:ascii="Calibri" w:hAnsi="Calibri" w:cs="Arial"/>
                <w:lang w:eastAsia="en-GB"/>
              </w:rPr>
              <w:t>Corporation tax payable</w:t>
            </w:r>
          </w:p>
        </w:tc>
        <w:tc>
          <w:tcPr>
            <w:tcW w:w="672" w:type="dxa"/>
            <w:tcBorders>
              <w:top w:val="nil"/>
              <w:left w:val="nil"/>
              <w:bottom w:val="nil"/>
              <w:right w:val="nil"/>
            </w:tcBorders>
            <w:shd w:val="clear" w:color="auto" w:fill="auto"/>
            <w:noWrap/>
            <w:vAlign w:val="bottom"/>
            <w:hideMark/>
          </w:tcPr>
          <w:p w:rsidR="00387232" w:rsidRPr="006A44C0" w:rsidRDefault="00387232" w:rsidP="006A44C0">
            <w:pPr>
              <w:jc w:val="center"/>
              <w:rPr>
                <w:rFonts w:ascii="Calibri" w:hAnsi="Calibri" w:cs="Arial"/>
                <w:sz w:val="20"/>
                <w:szCs w:val="20"/>
                <w:lang w:eastAsia="en-GB"/>
              </w:rPr>
            </w:pPr>
          </w:p>
        </w:tc>
        <w:tc>
          <w:tcPr>
            <w:tcW w:w="1995" w:type="dxa"/>
            <w:tcBorders>
              <w:top w:val="nil"/>
              <w:left w:val="nil"/>
              <w:bottom w:val="nil"/>
              <w:right w:val="nil"/>
            </w:tcBorders>
            <w:shd w:val="clear" w:color="auto" w:fill="auto"/>
            <w:noWrap/>
            <w:vAlign w:val="bottom"/>
            <w:hideMark/>
          </w:tcPr>
          <w:p w:rsidR="00387232" w:rsidRPr="006A44C0" w:rsidRDefault="00E14A1B" w:rsidP="006A44C0">
            <w:pPr>
              <w:jc w:val="right"/>
              <w:rPr>
                <w:rFonts w:ascii="Calibri" w:hAnsi="Calibri" w:cs="Arial"/>
                <w:lang w:eastAsia="en-GB"/>
              </w:rPr>
            </w:pPr>
            <w:r>
              <w:rPr>
                <w:rFonts w:ascii="Calibri" w:hAnsi="Calibri" w:cs="Arial"/>
                <w:lang w:eastAsia="en-GB"/>
              </w:rPr>
              <w:t>370</w:t>
            </w:r>
            <w:r w:rsidR="00387232" w:rsidRPr="006A44C0">
              <w:rPr>
                <w:rFonts w:ascii="Calibri" w:hAnsi="Calibri" w:cs="Arial"/>
                <w:lang w:eastAsia="en-GB"/>
              </w:rPr>
              <w:t xml:space="preserve"> </w:t>
            </w:r>
          </w:p>
        </w:tc>
        <w:tc>
          <w:tcPr>
            <w:tcW w:w="2552" w:type="dxa"/>
            <w:tcBorders>
              <w:top w:val="nil"/>
              <w:left w:val="nil"/>
              <w:bottom w:val="nil"/>
              <w:right w:val="nil"/>
            </w:tcBorders>
            <w:shd w:val="clear" w:color="auto" w:fill="auto"/>
            <w:noWrap/>
            <w:vAlign w:val="bottom"/>
            <w:hideMark/>
          </w:tcPr>
          <w:p w:rsidR="00387232" w:rsidRPr="006A44C0" w:rsidRDefault="00E14A1B" w:rsidP="006A44C0">
            <w:pPr>
              <w:jc w:val="right"/>
              <w:rPr>
                <w:rFonts w:ascii="Calibri" w:hAnsi="Calibri" w:cs="Arial"/>
                <w:lang w:eastAsia="en-GB"/>
              </w:rPr>
            </w:pPr>
            <w:r>
              <w:rPr>
                <w:rFonts w:ascii="Calibri" w:hAnsi="Calibri" w:cs="Arial"/>
                <w:lang w:eastAsia="en-GB"/>
              </w:rPr>
              <w:t>-</w:t>
            </w:r>
            <w:r w:rsidR="00387232" w:rsidRPr="006A44C0">
              <w:rPr>
                <w:rFonts w:ascii="Calibri" w:hAnsi="Calibri" w:cs="Arial"/>
                <w:lang w:eastAsia="en-GB"/>
              </w:rPr>
              <w:t xml:space="preserve"> </w:t>
            </w:r>
          </w:p>
        </w:tc>
      </w:tr>
      <w:tr w:rsidR="00387232" w:rsidRPr="006A44C0" w:rsidTr="006A44C0">
        <w:trPr>
          <w:divId w:val="1937246360"/>
          <w:trHeight w:val="241"/>
        </w:trPr>
        <w:tc>
          <w:tcPr>
            <w:tcW w:w="3570" w:type="dxa"/>
            <w:tcBorders>
              <w:top w:val="nil"/>
              <w:left w:val="nil"/>
              <w:bottom w:val="nil"/>
              <w:right w:val="nil"/>
            </w:tcBorders>
            <w:shd w:val="clear" w:color="auto" w:fill="auto"/>
            <w:noWrap/>
            <w:vAlign w:val="bottom"/>
            <w:hideMark/>
          </w:tcPr>
          <w:p w:rsidR="00387232" w:rsidRPr="006A44C0" w:rsidRDefault="00387232" w:rsidP="006A44C0">
            <w:pPr>
              <w:jc w:val="left"/>
              <w:rPr>
                <w:rFonts w:ascii="Calibri" w:hAnsi="Calibri" w:cs="Arial"/>
                <w:lang w:eastAsia="en-GB"/>
              </w:rPr>
            </w:pPr>
            <w:r w:rsidRPr="006A44C0">
              <w:rPr>
                <w:rFonts w:ascii="Calibri" w:hAnsi="Calibri" w:cs="Arial"/>
                <w:lang w:eastAsia="en-GB"/>
              </w:rPr>
              <w:t>Interest bearing borrowings</w:t>
            </w:r>
          </w:p>
        </w:tc>
        <w:tc>
          <w:tcPr>
            <w:tcW w:w="672" w:type="dxa"/>
            <w:tcBorders>
              <w:top w:val="nil"/>
              <w:left w:val="nil"/>
              <w:bottom w:val="nil"/>
              <w:right w:val="nil"/>
            </w:tcBorders>
            <w:shd w:val="clear" w:color="auto" w:fill="auto"/>
            <w:noWrap/>
            <w:vAlign w:val="bottom"/>
            <w:hideMark/>
          </w:tcPr>
          <w:p w:rsidR="00387232" w:rsidRPr="006A44C0" w:rsidRDefault="00387232" w:rsidP="006A44C0">
            <w:pPr>
              <w:jc w:val="center"/>
              <w:rPr>
                <w:rFonts w:ascii="Calibri" w:hAnsi="Calibri" w:cs="Arial"/>
                <w:sz w:val="20"/>
                <w:szCs w:val="20"/>
                <w:lang w:eastAsia="en-GB"/>
              </w:rPr>
            </w:pPr>
          </w:p>
        </w:tc>
        <w:tc>
          <w:tcPr>
            <w:tcW w:w="1995" w:type="dxa"/>
            <w:tcBorders>
              <w:top w:val="nil"/>
              <w:left w:val="nil"/>
              <w:bottom w:val="single" w:sz="4" w:space="0" w:color="auto"/>
              <w:right w:val="nil"/>
            </w:tcBorders>
            <w:shd w:val="clear" w:color="auto" w:fill="auto"/>
            <w:noWrap/>
            <w:vAlign w:val="bottom"/>
            <w:hideMark/>
          </w:tcPr>
          <w:p w:rsidR="00387232" w:rsidRPr="006A44C0" w:rsidRDefault="00E14A1B" w:rsidP="006A44C0">
            <w:pPr>
              <w:jc w:val="right"/>
              <w:rPr>
                <w:rFonts w:ascii="Calibri" w:hAnsi="Calibri" w:cs="Arial"/>
                <w:lang w:eastAsia="en-GB"/>
              </w:rPr>
            </w:pPr>
            <w:r>
              <w:rPr>
                <w:rFonts w:ascii="Calibri" w:hAnsi="Calibri" w:cs="Arial"/>
                <w:lang w:eastAsia="en-GB"/>
              </w:rPr>
              <w:t>19</w:t>
            </w:r>
            <w:r w:rsidR="00387232" w:rsidRPr="006A44C0">
              <w:rPr>
                <w:rFonts w:ascii="Calibri" w:hAnsi="Calibri" w:cs="Arial"/>
                <w:lang w:eastAsia="en-GB"/>
              </w:rPr>
              <w:t xml:space="preserve"> </w:t>
            </w:r>
          </w:p>
        </w:tc>
        <w:tc>
          <w:tcPr>
            <w:tcW w:w="2552" w:type="dxa"/>
            <w:tcBorders>
              <w:top w:val="nil"/>
              <w:left w:val="nil"/>
              <w:bottom w:val="single" w:sz="4" w:space="0" w:color="auto"/>
              <w:right w:val="nil"/>
            </w:tcBorders>
            <w:shd w:val="clear" w:color="auto" w:fill="auto"/>
            <w:noWrap/>
            <w:vAlign w:val="bottom"/>
            <w:hideMark/>
          </w:tcPr>
          <w:p w:rsidR="00387232" w:rsidRPr="006A44C0" w:rsidRDefault="00E14A1B" w:rsidP="006A44C0">
            <w:pPr>
              <w:jc w:val="right"/>
              <w:rPr>
                <w:rFonts w:ascii="Calibri" w:hAnsi="Calibri" w:cs="Arial"/>
                <w:lang w:eastAsia="en-GB"/>
              </w:rPr>
            </w:pPr>
            <w:r>
              <w:rPr>
                <w:rFonts w:ascii="Calibri" w:hAnsi="Calibri" w:cs="Arial"/>
                <w:lang w:eastAsia="en-GB"/>
              </w:rPr>
              <w:t>1,212</w:t>
            </w:r>
            <w:r w:rsidR="00387232" w:rsidRPr="006A44C0">
              <w:rPr>
                <w:rFonts w:ascii="Calibri" w:hAnsi="Calibri" w:cs="Arial"/>
                <w:lang w:eastAsia="en-GB"/>
              </w:rPr>
              <w:t xml:space="preserve"> </w:t>
            </w:r>
          </w:p>
        </w:tc>
      </w:tr>
      <w:tr w:rsidR="00387232" w:rsidRPr="006A44C0" w:rsidTr="006A44C0">
        <w:trPr>
          <w:divId w:val="1937246360"/>
          <w:trHeight w:val="241"/>
        </w:trPr>
        <w:tc>
          <w:tcPr>
            <w:tcW w:w="3570" w:type="dxa"/>
            <w:tcBorders>
              <w:top w:val="nil"/>
              <w:left w:val="nil"/>
              <w:bottom w:val="nil"/>
              <w:right w:val="nil"/>
            </w:tcBorders>
            <w:shd w:val="clear" w:color="auto" w:fill="auto"/>
            <w:noWrap/>
            <w:vAlign w:val="bottom"/>
            <w:hideMark/>
          </w:tcPr>
          <w:p w:rsidR="00387232" w:rsidRPr="006A44C0" w:rsidRDefault="00387232" w:rsidP="006A44C0">
            <w:pPr>
              <w:jc w:val="left"/>
              <w:rPr>
                <w:rFonts w:ascii="Calibri" w:hAnsi="Calibri" w:cs="Arial"/>
                <w:b/>
                <w:bCs/>
                <w:lang w:eastAsia="en-GB"/>
              </w:rPr>
            </w:pPr>
            <w:r w:rsidRPr="006A44C0">
              <w:rPr>
                <w:rFonts w:ascii="Calibri" w:hAnsi="Calibri" w:cs="Arial"/>
                <w:b/>
                <w:bCs/>
                <w:lang w:eastAsia="en-GB"/>
              </w:rPr>
              <w:t>Total current liabilities</w:t>
            </w:r>
          </w:p>
        </w:tc>
        <w:tc>
          <w:tcPr>
            <w:tcW w:w="672" w:type="dxa"/>
            <w:tcBorders>
              <w:top w:val="nil"/>
              <w:left w:val="nil"/>
              <w:bottom w:val="nil"/>
              <w:right w:val="nil"/>
            </w:tcBorders>
            <w:shd w:val="clear" w:color="auto" w:fill="auto"/>
            <w:noWrap/>
            <w:vAlign w:val="bottom"/>
            <w:hideMark/>
          </w:tcPr>
          <w:p w:rsidR="00387232" w:rsidRPr="006A44C0" w:rsidRDefault="00387232" w:rsidP="006A44C0">
            <w:pPr>
              <w:jc w:val="center"/>
              <w:rPr>
                <w:rFonts w:ascii="Calibri" w:hAnsi="Calibri" w:cs="Arial"/>
                <w:sz w:val="20"/>
                <w:szCs w:val="20"/>
                <w:lang w:eastAsia="en-GB"/>
              </w:rPr>
            </w:pPr>
          </w:p>
        </w:tc>
        <w:tc>
          <w:tcPr>
            <w:tcW w:w="1995" w:type="dxa"/>
            <w:tcBorders>
              <w:top w:val="nil"/>
              <w:left w:val="nil"/>
              <w:bottom w:val="nil"/>
              <w:right w:val="nil"/>
            </w:tcBorders>
            <w:shd w:val="clear" w:color="auto" w:fill="auto"/>
            <w:noWrap/>
            <w:vAlign w:val="bottom"/>
            <w:hideMark/>
          </w:tcPr>
          <w:p w:rsidR="00387232" w:rsidRPr="006A44C0" w:rsidRDefault="00E14A1B" w:rsidP="006A44C0">
            <w:pPr>
              <w:jc w:val="right"/>
              <w:rPr>
                <w:rFonts w:ascii="Calibri" w:hAnsi="Calibri" w:cs="Arial"/>
                <w:lang w:eastAsia="en-GB"/>
              </w:rPr>
            </w:pPr>
            <w:r>
              <w:rPr>
                <w:rFonts w:ascii="Calibri" w:hAnsi="Calibri" w:cs="Arial"/>
                <w:lang w:eastAsia="en-GB"/>
              </w:rPr>
              <w:t>4,441</w:t>
            </w:r>
            <w:r w:rsidR="00387232" w:rsidRPr="006A44C0">
              <w:rPr>
                <w:rFonts w:ascii="Calibri" w:hAnsi="Calibri" w:cs="Arial"/>
                <w:lang w:eastAsia="en-GB"/>
              </w:rPr>
              <w:t xml:space="preserve"> </w:t>
            </w:r>
          </w:p>
        </w:tc>
        <w:tc>
          <w:tcPr>
            <w:tcW w:w="2552" w:type="dxa"/>
            <w:tcBorders>
              <w:top w:val="nil"/>
              <w:left w:val="nil"/>
              <w:bottom w:val="nil"/>
              <w:right w:val="nil"/>
            </w:tcBorders>
            <w:shd w:val="clear" w:color="auto" w:fill="auto"/>
            <w:noWrap/>
            <w:vAlign w:val="bottom"/>
            <w:hideMark/>
          </w:tcPr>
          <w:p w:rsidR="00387232" w:rsidRPr="006A44C0" w:rsidRDefault="00E14A1B" w:rsidP="00E14A1B">
            <w:pPr>
              <w:jc w:val="right"/>
              <w:rPr>
                <w:rFonts w:ascii="Calibri" w:hAnsi="Calibri" w:cs="Arial"/>
                <w:lang w:eastAsia="en-GB"/>
              </w:rPr>
            </w:pPr>
            <w:r>
              <w:rPr>
                <w:rFonts w:ascii="Calibri" w:hAnsi="Calibri" w:cs="Arial"/>
                <w:lang w:eastAsia="en-GB"/>
              </w:rPr>
              <w:t>5</w:t>
            </w:r>
            <w:r w:rsidR="00387232" w:rsidRPr="006A44C0">
              <w:rPr>
                <w:rFonts w:ascii="Calibri" w:hAnsi="Calibri" w:cs="Arial"/>
                <w:lang w:eastAsia="en-GB"/>
              </w:rPr>
              <w:t>,</w:t>
            </w:r>
            <w:r>
              <w:rPr>
                <w:rFonts w:ascii="Calibri" w:hAnsi="Calibri" w:cs="Arial"/>
                <w:lang w:eastAsia="en-GB"/>
              </w:rPr>
              <w:t>449</w:t>
            </w:r>
            <w:r w:rsidR="00387232" w:rsidRPr="006A44C0">
              <w:rPr>
                <w:rFonts w:ascii="Calibri" w:hAnsi="Calibri" w:cs="Arial"/>
                <w:lang w:eastAsia="en-GB"/>
              </w:rPr>
              <w:t xml:space="preserve"> </w:t>
            </w:r>
          </w:p>
        </w:tc>
      </w:tr>
      <w:tr w:rsidR="00387232" w:rsidRPr="006A44C0" w:rsidTr="006A44C0">
        <w:trPr>
          <w:divId w:val="1937246360"/>
          <w:trHeight w:val="241"/>
        </w:trPr>
        <w:tc>
          <w:tcPr>
            <w:tcW w:w="3570" w:type="dxa"/>
            <w:tcBorders>
              <w:top w:val="nil"/>
              <w:left w:val="nil"/>
              <w:bottom w:val="nil"/>
              <w:right w:val="nil"/>
            </w:tcBorders>
            <w:shd w:val="clear" w:color="auto" w:fill="auto"/>
            <w:noWrap/>
            <w:vAlign w:val="bottom"/>
            <w:hideMark/>
          </w:tcPr>
          <w:p w:rsidR="00387232" w:rsidRPr="006A44C0" w:rsidRDefault="00387232" w:rsidP="006A44C0">
            <w:pPr>
              <w:jc w:val="left"/>
              <w:rPr>
                <w:rFonts w:ascii="Calibri" w:hAnsi="Calibri" w:cs="Arial"/>
                <w:b/>
                <w:bCs/>
                <w:lang w:eastAsia="en-GB"/>
              </w:rPr>
            </w:pPr>
            <w:r w:rsidRPr="006A44C0">
              <w:rPr>
                <w:rFonts w:ascii="Calibri" w:hAnsi="Calibri" w:cs="Arial"/>
                <w:b/>
                <w:bCs/>
                <w:lang w:eastAsia="en-GB"/>
              </w:rPr>
              <w:t>Non-current liabilities</w:t>
            </w:r>
          </w:p>
        </w:tc>
        <w:tc>
          <w:tcPr>
            <w:tcW w:w="672" w:type="dxa"/>
            <w:tcBorders>
              <w:top w:val="nil"/>
              <w:left w:val="nil"/>
              <w:bottom w:val="nil"/>
              <w:right w:val="nil"/>
            </w:tcBorders>
            <w:shd w:val="clear" w:color="auto" w:fill="auto"/>
            <w:noWrap/>
            <w:vAlign w:val="bottom"/>
            <w:hideMark/>
          </w:tcPr>
          <w:p w:rsidR="00387232" w:rsidRPr="006A44C0" w:rsidRDefault="00387232" w:rsidP="006A44C0">
            <w:pPr>
              <w:jc w:val="center"/>
              <w:rPr>
                <w:rFonts w:ascii="Calibri" w:hAnsi="Calibri" w:cs="Arial"/>
                <w:sz w:val="20"/>
                <w:szCs w:val="20"/>
                <w:lang w:eastAsia="en-GB"/>
              </w:rPr>
            </w:pPr>
          </w:p>
        </w:tc>
        <w:tc>
          <w:tcPr>
            <w:tcW w:w="1995" w:type="dxa"/>
            <w:tcBorders>
              <w:top w:val="nil"/>
              <w:left w:val="nil"/>
              <w:bottom w:val="nil"/>
              <w:right w:val="nil"/>
            </w:tcBorders>
            <w:shd w:val="clear" w:color="auto" w:fill="auto"/>
            <w:noWrap/>
            <w:vAlign w:val="bottom"/>
            <w:hideMark/>
          </w:tcPr>
          <w:p w:rsidR="00387232" w:rsidRPr="006A44C0" w:rsidRDefault="00387232" w:rsidP="006A44C0">
            <w:pPr>
              <w:jc w:val="right"/>
              <w:rPr>
                <w:rFonts w:ascii="Calibri" w:hAnsi="Calibri" w:cs="Arial"/>
                <w:lang w:eastAsia="en-GB"/>
              </w:rPr>
            </w:pPr>
          </w:p>
        </w:tc>
        <w:tc>
          <w:tcPr>
            <w:tcW w:w="2552" w:type="dxa"/>
            <w:tcBorders>
              <w:top w:val="nil"/>
              <w:left w:val="nil"/>
              <w:bottom w:val="nil"/>
              <w:right w:val="nil"/>
            </w:tcBorders>
            <w:shd w:val="clear" w:color="auto" w:fill="auto"/>
            <w:noWrap/>
            <w:vAlign w:val="bottom"/>
            <w:hideMark/>
          </w:tcPr>
          <w:p w:rsidR="00387232" w:rsidRPr="006A44C0" w:rsidRDefault="00387232" w:rsidP="006A44C0">
            <w:pPr>
              <w:jc w:val="right"/>
              <w:rPr>
                <w:rFonts w:ascii="Calibri" w:hAnsi="Calibri" w:cs="Arial"/>
                <w:lang w:eastAsia="en-GB"/>
              </w:rPr>
            </w:pPr>
          </w:p>
        </w:tc>
      </w:tr>
      <w:tr w:rsidR="00387232" w:rsidRPr="006A44C0" w:rsidTr="006A44C0">
        <w:trPr>
          <w:divId w:val="1937246360"/>
          <w:trHeight w:val="241"/>
        </w:trPr>
        <w:tc>
          <w:tcPr>
            <w:tcW w:w="3570" w:type="dxa"/>
            <w:tcBorders>
              <w:top w:val="nil"/>
              <w:left w:val="nil"/>
              <w:bottom w:val="nil"/>
              <w:right w:val="nil"/>
            </w:tcBorders>
            <w:shd w:val="clear" w:color="auto" w:fill="auto"/>
            <w:noWrap/>
            <w:vAlign w:val="bottom"/>
            <w:hideMark/>
          </w:tcPr>
          <w:p w:rsidR="00387232" w:rsidRPr="006A44C0" w:rsidRDefault="00387232" w:rsidP="006A44C0">
            <w:pPr>
              <w:jc w:val="left"/>
              <w:rPr>
                <w:rFonts w:ascii="Calibri" w:hAnsi="Calibri" w:cs="Arial"/>
                <w:lang w:eastAsia="en-GB"/>
              </w:rPr>
            </w:pPr>
            <w:r w:rsidRPr="006A44C0">
              <w:rPr>
                <w:rFonts w:ascii="Calibri" w:hAnsi="Calibri" w:cs="Arial"/>
                <w:lang w:eastAsia="en-GB"/>
              </w:rPr>
              <w:t>Deferred tax liabilities</w:t>
            </w:r>
          </w:p>
        </w:tc>
        <w:tc>
          <w:tcPr>
            <w:tcW w:w="672" w:type="dxa"/>
            <w:tcBorders>
              <w:top w:val="nil"/>
              <w:left w:val="nil"/>
              <w:bottom w:val="nil"/>
              <w:right w:val="nil"/>
            </w:tcBorders>
            <w:shd w:val="clear" w:color="auto" w:fill="auto"/>
            <w:noWrap/>
            <w:vAlign w:val="bottom"/>
            <w:hideMark/>
          </w:tcPr>
          <w:p w:rsidR="00387232" w:rsidRPr="006A44C0" w:rsidRDefault="00387232" w:rsidP="00387232">
            <w:pPr>
              <w:jc w:val="center"/>
              <w:rPr>
                <w:rFonts w:ascii="Calibri" w:hAnsi="Calibri" w:cs="Arial"/>
                <w:sz w:val="20"/>
                <w:szCs w:val="20"/>
                <w:lang w:eastAsia="en-GB"/>
              </w:rPr>
            </w:pPr>
          </w:p>
        </w:tc>
        <w:tc>
          <w:tcPr>
            <w:tcW w:w="1995" w:type="dxa"/>
            <w:tcBorders>
              <w:top w:val="nil"/>
              <w:left w:val="nil"/>
              <w:bottom w:val="nil"/>
              <w:right w:val="nil"/>
            </w:tcBorders>
            <w:shd w:val="clear" w:color="auto" w:fill="auto"/>
            <w:noWrap/>
            <w:vAlign w:val="bottom"/>
            <w:hideMark/>
          </w:tcPr>
          <w:p w:rsidR="00387232" w:rsidRPr="006A44C0" w:rsidRDefault="00E14A1B" w:rsidP="006A44C0">
            <w:pPr>
              <w:jc w:val="right"/>
              <w:rPr>
                <w:rFonts w:ascii="Calibri" w:hAnsi="Calibri" w:cs="Arial"/>
                <w:lang w:eastAsia="en-GB"/>
              </w:rPr>
            </w:pPr>
            <w:r>
              <w:rPr>
                <w:rFonts w:ascii="Calibri" w:hAnsi="Calibri" w:cs="Arial"/>
                <w:lang w:eastAsia="en-GB"/>
              </w:rPr>
              <w:t>4,593</w:t>
            </w:r>
            <w:r w:rsidR="00387232" w:rsidRPr="006A44C0">
              <w:rPr>
                <w:rFonts w:ascii="Calibri" w:hAnsi="Calibri" w:cs="Arial"/>
                <w:lang w:eastAsia="en-GB"/>
              </w:rPr>
              <w:t xml:space="preserve"> </w:t>
            </w:r>
          </w:p>
        </w:tc>
        <w:tc>
          <w:tcPr>
            <w:tcW w:w="2552" w:type="dxa"/>
            <w:tcBorders>
              <w:top w:val="nil"/>
              <w:left w:val="nil"/>
              <w:bottom w:val="nil"/>
              <w:right w:val="nil"/>
            </w:tcBorders>
            <w:shd w:val="clear" w:color="auto" w:fill="auto"/>
            <w:noWrap/>
            <w:vAlign w:val="bottom"/>
            <w:hideMark/>
          </w:tcPr>
          <w:p w:rsidR="00387232" w:rsidRPr="006A44C0" w:rsidRDefault="00E14A1B" w:rsidP="006A44C0">
            <w:pPr>
              <w:jc w:val="right"/>
              <w:rPr>
                <w:rFonts w:ascii="Calibri" w:hAnsi="Calibri" w:cs="Arial"/>
                <w:lang w:eastAsia="en-GB"/>
              </w:rPr>
            </w:pPr>
            <w:r>
              <w:rPr>
                <w:rFonts w:ascii="Calibri" w:hAnsi="Calibri" w:cs="Arial"/>
                <w:lang w:eastAsia="en-GB"/>
              </w:rPr>
              <w:t>4,434</w:t>
            </w:r>
            <w:r w:rsidR="00387232" w:rsidRPr="006A44C0">
              <w:rPr>
                <w:rFonts w:ascii="Calibri" w:hAnsi="Calibri" w:cs="Arial"/>
                <w:lang w:eastAsia="en-GB"/>
              </w:rPr>
              <w:t xml:space="preserve"> </w:t>
            </w:r>
          </w:p>
        </w:tc>
      </w:tr>
      <w:tr w:rsidR="00387232" w:rsidRPr="006A44C0" w:rsidTr="006A44C0">
        <w:trPr>
          <w:divId w:val="1937246360"/>
          <w:trHeight w:val="241"/>
        </w:trPr>
        <w:tc>
          <w:tcPr>
            <w:tcW w:w="3570" w:type="dxa"/>
            <w:tcBorders>
              <w:top w:val="nil"/>
              <w:left w:val="nil"/>
              <w:bottom w:val="nil"/>
              <w:right w:val="nil"/>
            </w:tcBorders>
            <w:shd w:val="clear" w:color="auto" w:fill="auto"/>
            <w:noWrap/>
            <w:vAlign w:val="bottom"/>
            <w:hideMark/>
          </w:tcPr>
          <w:p w:rsidR="00387232" w:rsidRPr="006A44C0" w:rsidRDefault="00387232" w:rsidP="006A44C0">
            <w:pPr>
              <w:jc w:val="left"/>
              <w:rPr>
                <w:rFonts w:ascii="Calibri" w:hAnsi="Calibri" w:cs="Arial"/>
                <w:lang w:eastAsia="en-GB"/>
              </w:rPr>
            </w:pPr>
            <w:r w:rsidRPr="006A44C0">
              <w:rPr>
                <w:rFonts w:ascii="Calibri" w:hAnsi="Calibri" w:cs="Arial"/>
                <w:lang w:eastAsia="en-GB"/>
              </w:rPr>
              <w:t>Interest bearing borrowings</w:t>
            </w:r>
          </w:p>
        </w:tc>
        <w:tc>
          <w:tcPr>
            <w:tcW w:w="672" w:type="dxa"/>
            <w:tcBorders>
              <w:top w:val="nil"/>
              <w:left w:val="nil"/>
              <w:bottom w:val="nil"/>
              <w:right w:val="nil"/>
            </w:tcBorders>
            <w:shd w:val="clear" w:color="auto" w:fill="auto"/>
            <w:noWrap/>
            <w:vAlign w:val="bottom"/>
            <w:hideMark/>
          </w:tcPr>
          <w:p w:rsidR="00387232" w:rsidRPr="006A44C0" w:rsidRDefault="00387232" w:rsidP="00387232">
            <w:pPr>
              <w:jc w:val="center"/>
              <w:rPr>
                <w:rFonts w:ascii="Calibri" w:hAnsi="Calibri" w:cs="Arial"/>
                <w:sz w:val="20"/>
                <w:szCs w:val="20"/>
                <w:lang w:eastAsia="en-GB"/>
              </w:rPr>
            </w:pPr>
          </w:p>
        </w:tc>
        <w:tc>
          <w:tcPr>
            <w:tcW w:w="1995" w:type="dxa"/>
            <w:tcBorders>
              <w:top w:val="nil"/>
              <w:left w:val="nil"/>
              <w:bottom w:val="single" w:sz="4" w:space="0" w:color="auto"/>
              <w:right w:val="nil"/>
            </w:tcBorders>
            <w:shd w:val="clear" w:color="auto" w:fill="auto"/>
            <w:noWrap/>
            <w:vAlign w:val="bottom"/>
            <w:hideMark/>
          </w:tcPr>
          <w:p w:rsidR="00387232" w:rsidRPr="006A44C0" w:rsidRDefault="00E14A1B" w:rsidP="006A44C0">
            <w:pPr>
              <w:jc w:val="right"/>
              <w:rPr>
                <w:rFonts w:ascii="Calibri" w:hAnsi="Calibri" w:cs="Arial"/>
                <w:lang w:eastAsia="en-GB"/>
              </w:rPr>
            </w:pPr>
            <w:r>
              <w:rPr>
                <w:rFonts w:ascii="Calibri" w:hAnsi="Calibri" w:cs="Arial"/>
                <w:lang w:eastAsia="en-GB"/>
              </w:rPr>
              <w:t>4,916</w:t>
            </w:r>
            <w:r w:rsidR="00387232" w:rsidRPr="006A44C0">
              <w:rPr>
                <w:rFonts w:ascii="Calibri" w:hAnsi="Calibri" w:cs="Arial"/>
                <w:lang w:eastAsia="en-GB"/>
              </w:rPr>
              <w:t xml:space="preserve"> </w:t>
            </w:r>
          </w:p>
        </w:tc>
        <w:tc>
          <w:tcPr>
            <w:tcW w:w="2552" w:type="dxa"/>
            <w:tcBorders>
              <w:top w:val="nil"/>
              <w:left w:val="nil"/>
              <w:bottom w:val="single" w:sz="4" w:space="0" w:color="auto"/>
              <w:right w:val="nil"/>
            </w:tcBorders>
            <w:shd w:val="clear" w:color="auto" w:fill="auto"/>
            <w:noWrap/>
            <w:vAlign w:val="bottom"/>
            <w:hideMark/>
          </w:tcPr>
          <w:p w:rsidR="00387232" w:rsidRPr="006A44C0" w:rsidRDefault="00E14A1B" w:rsidP="006A44C0">
            <w:pPr>
              <w:jc w:val="right"/>
              <w:rPr>
                <w:rFonts w:ascii="Calibri" w:hAnsi="Calibri" w:cs="Arial"/>
                <w:lang w:eastAsia="en-GB"/>
              </w:rPr>
            </w:pPr>
            <w:r>
              <w:rPr>
                <w:rFonts w:ascii="Calibri" w:hAnsi="Calibri" w:cs="Arial"/>
                <w:lang w:eastAsia="en-GB"/>
              </w:rPr>
              <w:t>5,125</w:t>
            </w:r>
            <w:r w:rsidR="00387232" w:rsidRPr="006A44C0">
              <w:rPr>
                <w:rFonts w:ascii="Calibri" w:hAnsi="Calibri" w:cs="Arial"/>
                <w:lang w:eastAsia="en-GB"/>
              </w:rPr>
              <w:t xml:space="preserve"> </w:t>
            </w:r>
          </w:p>
        </w:tc>
      </w:tr>
      <w:tr w:rsidR="00387232" w:rsidRPr="006A44C0" w:rsidTr="006A44C0">
        <w:trPr>
          <w:divId w:val="1937246360"/>
          <w:trHeight w:val="241"/>
        </w:trPr>
        <w:tc>
          <w:tcPr>
            <w:tcW w:w="3570" w:type="dxa"/>
            <w:tcBorders>
              <w:top w:val="nil"/>
              <w:left w:val="nil"/>
              <w:bottom w:val="nil"/>
              <w:right w:val="nil"/>
            </w:tcBorders>
            <w:shd w:val="clear" w:color="auto" w:fill="auto"/>
            <w:noWrap/>
            <w:vAlign w:val="bottom"/>
            <w:hideMark/>
          </w:tcPr>
          <w:p w:rsidR="00387232" w:rsidRPr="006A44C0" w:rsidRDefault="00387232" w:rsidP="006A44C0">
            <w:pPr>
              <w:jc w:val="left"/>
              <w:rPr>
                <w:rFonts w:ascii="Calibri" w:hAnsi="Calibri" w:cs="Arial"/>
                <w:lang w:eastAsia="en-GB"/>
              </w:rPr>
            </w:pPr>
          </w:p>
        </w:tc>
        <w:tc>
          <w:tcPr>
            <w:tcW w:w="672" w:type="dxa"/>
            <w:tcBorders>
              <w:top w:val="nil"/>
              <w:left w:val="nil"/>
              <w:bottom w:val="nil"/>
              <w:right w:val="nil"/>
            </w:tcBorders>
            <w:shd w:val="clear" w:color="auto" w:fill="auto"/>
            <w:noWrap/>
            <w:vAlign w:val="bottom"/>
            <w:hideMark/>
          </w:tcPr>
          <w:p w:rsidR="00387232" w:rsidRPr="006A44C0" w:rsidRDefault="00387232" w:rsidP="006A44C0">
            <w:pPr>
              <w:jc w:val="center"/>
              <w:rPr>
                <w:rFonts w:ascii="Calibri" w:hAnsi="Calibri" w:cs="Arial"/>
                <w:sz w:val="20"/>
                <w:szCs w:val="20"/>
                <w:lang w:eastAsia="en-GB"/>
              </w:rPr>
            </w:pPr>
          </w:p>
        </w:tc>
        <w:tc>
          <w:tcPr>
            <w:tcW w:w="1995" w:type="dxa"/>
            <w:tcBorders>
              <w:top w:val="nil"/>
              <w:left w:val="nil"/>
              <w:bottom w:val="nil"/>
              <w:right w:val="nil"/>
            </w:tcBorders>
            <w:shd w:val="clear" w:color="auto" w:fill="auto"/>
            <w:noWrap/>
            <w:vAlign w:val="bottom"/>
            <w:hideMark/>
          </w:tcPr>
          <w:p w:rsidR="00387232" w:rsidRPr="006A44C0" w:rsidRDefault="00387232" w:rsidP="00E14A1B">
            <w:pPr>
              <w:jc w:val="right"/>
              <w:rPr>
                <w:rFonts w:ascii="Calibri" w:hAnsi="Calibri" w:cs="Arial"/>
                <w:lang w:eastAsia="en-GB"/>
              </w:rPr>
            </w:pPr>
            <w:r>
              <w:rPr>
                <w:rFonts w:ascii="Calibri" w:hAnsi="Calibri" w:cs="Arial"/>
                <w:lang w:eastAsia="en-GB"/>
              </w:rPr>
              <w:t>9,</w:t>
            </w:r>
            <w:r w:rsidR="00E14A1B">
              <w:rPr>
                <w:rFonts w:ascii="Calibri" w:hAnsi="Calibri" w:cs="Arial"/>
                <w:lang w:eastAsia="en-GB"/>
              </w:rPr>
              <w:t>509</w:t>
            </w:r>
            <w:r w:rsidRPr="006A44C0">
              <w:rPr>
                <w:rFonts w:ascii="Calibri" w:hAnsi="Calibri" w:cs="Arial"/>
                <w:lang w:eastAsia="en-GB"/>
              </w:rPr>
              <w:t xml:space="preserve"> </w:t>
            </w:r>
          </w:p>
        </w:tc>
        <w:tc>
          <w:tcPr>
            <w:tcW w:w="2552" w:type="dxa"/>
            <w:tcBorders>
              <w:top w:val="nil"/>
              <w:left w:val="nil"/>
              <w:bottom w:val="nil"/>
              <w:right w:val="nil"/>
            </w:tcBorders>
            <w:shd w:val="clear" w:color="auto" w:fill="auto"/>
            <w:noWrap/>
            <w:vAlign w:val="bottom"/>
            <w:hideMark/>
          </w:tcPr>
          <w:p w:rsidR="00387232" w:rsidRPr="006A44C0" w:rsidRDefault="00E14A1B" w:rsidP="00E14A1B">
            <w:pPr>
              <w:jc w:val="right"/>
              <w:rPr>
                <w:rFonts w:ascii="Calibri" w:hAnsi="Calibri" w:cs="Arial"/>
                <w:lang w:eastAsia="en-GB"/>
              </w:rPr>
            </w:pPr>
            <w:r>
              <w:rPr>
                <w:rFonts w:ascii="Calibri" w:hAnsi="Calibri" w:cs="Arial"/>
                <w:lang w:eastAsia="en-GB"/>
              </w:rPr>
              <w:t>9</w:t>
            </w:r>
            <w:r w:rsidR="00387232" w:rsidRPr="006A44C0">
              <w:rPr>
                <w:rFonts w:ascii="Calibri" w:hAnsi="Calibri" w:cs="Arial"/>
                <w:lang w:eastAsia="en-GB"/>
              </w:rPr>
              <w:t>,</w:t>
            </w:r>
            <w:r>
              <w:rPr>
                <w:rFonts w:ascii="Calibri" w:hAnsi="Calibri" w:cs="Arial"/>
                <w:lang w:eastAsia="en-GB"/>
              </w:rPr>
              <w:t>559</w:t>
            </w:r>
            <w:r w:rsidR="00387232" w:rsidRPr="006A44C0">
              <w:rPr>
                <w:rFonts w:ascii="Calibri" w:hAnsi="Calibri" w:cs="Arial"/>
                <w:lang w:eastAsia="en-GB"/>
              </w:rPr>
              <w:t xml:space="preserve"> </w:t>
            </w:r>
          </w:p>
        </w:tc>
      </w:tr>
      <w:tr w:rsidR="00387232" w:rsidRPr="006A44C0" w:rsidTr="006A44C0">
        <w:trPr>
          <w:divId w:val="1937246360"/>
          <w:trHeight w:val="241"/>
        </w:trPr>
        <w:tc>
          <w:tcPr>
            <w:tcW w:w="3570" w:type="dxa"/>
            <w:tcBorders>
              <w:top w:val="nil"/>
              <w:left w:val="nil"/>
              <w:bottom w:val="nil"/>
              <w:right w:val="nil"/>
            </w:tcBorders>
            <w:shd w:val="clear" w:color="auto" w:fill="auto"/>
            <w:noWrap/>
            <w:vAlign w:val="bottom"/>
            <w:hideMark/>
          </w:tcPr>
          <w:p w:rsidR="00387232" w:rsidRPr="006A44C0" w:rsidRDefault="00387232" w:rsidP="006A44C0">
            <w:pPr>
              <w:jc w:val="left"/>
              <w:rPr>
                <w:rFonts w:ascii="Calibri" w:hAnsi="Calibri" w:cs="Arial"/>
                <w:b/>
                <w:bCs/>
                <w:lang w:eastAsia="en-GB"/>
              </w:rPr>
            </w:pPr>
            <w:r w:rsidRPr="006A44C0">
              <w:rPr>
                <w:rFonts w:ascii="Calibri" w:hAnsi="Calibri" w:cs="Arial"/>
                <w:b/>
                <w:bCs/>
                <w:lang w:eastAsia="en-GB"/>
              </w:rPr>
              <w:t>Total liabilities</w:t>
            </w:r>
          </w:p>
        </w:tc>
        <w:tc>
          <w:tcPr>
            <w:tcW w:w="672" w:type="dxa"/>
            <w:tcBorders>
              <w:top w:val="nil"/>
              <w:left w:val="nil"/>
              <w:bottom w:val="nil"/>
              <w:right w:val="nil"/>
            </w:tcBorders>
            <w:shd w:val="clear" w:color="auto" w:fill="auto"/>
            <w:noWrap/>
            <w:vAlign w:val="bottom"/>
            <w:hideMark/>
          </w:tcPr>
          <w:p w:rsidR="00387232" w:rsidRPr="006A44C0" w:rsidRDefault="00387232" w:rsidP="006A44C0">
            <w:pPr>
              <w:jc w:val="center"/>
              <w:rPr>
                <w:rFonts w:ascii="Calibri" w:hAnsi="Calibri" w:cs="Arial"/>
                <w:sz w:val="20"/>
                <w:szCs w:val="20"/>
                <w:lang w:eastAsia="en-GB"/>
              </w:rPr>
            </w:pPr>
          </w:p>
        </w:tc>
        <w:tc>
          <w:tcPr>
            <w:tcW w:w="1995" w:type="dxa"/>
            <w:tcBorders>
              <w:top w:val="nil"/>
              <w:left w:val="nil"/>
              <w:bottom w:val="nil"/>
              <w:right w:val="nil"/>
            </w:tcBorders>
            <w:shd w:val="clear" w:color="auto" w:fill="auto"/>
            <w:noWrap/>
            <w:vAlign w:val="bottom"/>
            <w:hideMark/>
          </w:tcPr>
          <w:p w:rsidR="00387232" w:rsidRPr="006A44C0" w:rsidRDefault="00E14A1B" w:rsidP="00E14A1B">
            <w:pPr>
              <w:jc w:val="right"/>
              <w:rPr>
                <w:rFonts w:ascii="Calibri" w:hAnsi="Calibri" w:cs="Arial"/>
                <w:lang w:eastAsia="en-GB"/>
              </w:rPr>
            </w:pPr>
            <w:r>
              <w:rPr>
                <w:rFonts w:ascii="Calibri" w:hAnsi="Calibri" w:cs="Arial"/>
                <w:lang w:eastAsia="en-GB"/>
              </w:rPr>
              <w:t>13</w:t>
            </w:r>
            <w:r w:rsidR="00387232">
              <w:rPr>
                <w:rFonts w:ascii="Calibri" w:hAnsi="Calibri" w:cs="Arial"/>
                <w:lang w:eastAsia="en-GB"/>
              </w:rPr>
              <w:t>,</w:t>
            </w:r>
            <w:r>
              <w:rPr>
                <w:rFonts w:ascii="Calibri" w:hAnsi="Calibri" w:cs="Arial"/>
                <w:lang w:eastAsia="en-GB"/>
              </w:rPr>
              <w:t>950</w:t>
            </w:r>
            <w:r w:rsidR="00387232" w:rsidRPr="006A44C0">
              <w:rPr>
                <w:rFonts w:ascii="Calibri" w:hAnsi="Calibri" w:cs="Arial"/>
                <w:lang w:eastAsia="en-GB"/>
              </w:rPr>
              <w:t xml:space="preserve"> </w:t>
            </w:r>
          </w:p>
        </w:tc>
        <w:tc>
          <w:tcPr>
            <w:tcW w:w="2552" w:type="dxa"/>
            <w:tcBorders>
              <w:top w:val="nil"/>
              <w:left w:val="nil"/>
              <w:bottom w:val="nil"/>
              <w:right w:val="nil"/>
            </w:tcBorders>
            <w:shd w:val="clear" w:color="auto" w:fill="auto"/>
            <w:noWrap/>
            <w:vAlign w:val="bottom"/>
            <w:hideMark/>
          </w:tcPr>
          <w:p w:rsidR="00387232" w:rsidRPr="006A44C0" w:rsidRDefault="00E14A1B" w:rsidP="00821868">
            <w:pPr>
              <w:jc w:val="right"/>
              <w:rPr>
                <w:rFonts w:ascii="Calibri" w:hAnsi="Calibri" w:cs="Arial"/>
                <w:lang w:eastAsia="en-GB"/>
              </w:rPr>
            </w:pPr>
            <w:r>
              <w:rPr>
                <w:rFonts w:ascii="Calibri" w:hAnsi="Calibri" w:cs="Arial"/>
                <w:lang w:eastAsia="en-GB"/>
              </w:rPr>
              <w:t>15</w:t>
            </w:r>
            <w:r w:rsidR="00387232">
              <w:rPr>
                <w:rFonts w:ascii="Calibri" w:hAnsi="Calibri" w:cs="Arial"/>
                <w:lang w:eastAsia="en-GB"/>
              </w:rPr>
              <w:t>,00</w:t>
            </w:r>
            <w:r w:rsidR="00821868">
              <w:rPr>
                <w:rFonts w:ascii="Calibri" w:hAnsi="Calibri" w:cs="Arial"/>
                <w:lang w:eastAsia="en-GB"/>
              </w:rPr>
              <w:t>8</w:t>
            </w:r>
            <w:r w:rsidR="00387232" w:rsidRPr="006A44C0">
              <w:rPr>
                <w:rFonts w:ascii="Calibri" w:hAnsi="Calibri" w:cs="Arial"/>
                <w:lang w:eastAsia="en-GB"/>
              </w:rPr>
              <w:t xml:space="preserve"> </w:t>
            </w:r>
          </w:p>
        </w:tc>
      </w:tr>
      <w:tr w:rsidR="00387232" w:rsidRPr="006A44C0" w:rsidTr="006A44C0">
        <w:trPr>
          <w:divId w:val="1937246360"/>
          <w:trHeight w:val="241"/>
        </w:trPr>
        <w:tc>
          <w:tcPr>
            <w:tcW w:w="3570" w:type="dxa"/>
            <w:tcBorders>
              <w:top w:val="nil"/>
              <w:left w:val="nil"/>
              <w:bottom w:val="nil"/>
              <w:right w:val="nil"/>
            </w:tcBorders>
            <w:shd w:val="clear" w:color="auto" w:fill="auto"/>
            <w:noWrap/>
            <w:vAlign w:val="bottom"/>
          </w:tcPr>
          <w:p w:rsidR="00387232" w:rsidRPr="006A44C0" w:rsidRDefault="00387232" w:rsidP="006A44C0">
            <w:pPr>
              <w:jc w:val="left"/>
              <w:rPr>
                <w:rFonts w:ascii="Calibri" w:hAnsi="Calibri" w:cs="Arial"/>
                <w:b/>
                <w:bCs/>
                <w:lang w:eastAsia="en-GB"/>
              </w:rPr>
            </w:pPr>
          </w:p>
        </w:tc>
        <w:tc>
          <w:tcPr>
            <w:tcW w:w="672" w:type="dxa"/>
            <w:tcBorders>
              <w:top w:val="nil"/>
              <w:left w:val="nil"/>
              <w:bottom w:val="nil"/>
              <w:right w:val="nil"/>
            </w:tcBorders>
            <w:shd w:val="clear" w:color="auto" w:fill="auto"/>
            <w:noWrap/>
            <w:vAlign w:val="bottom"/>
          </w:tcPr>
          <w:p w:rsidR="00387232" w:rsidRPr="006A44C0" w:rsidRDefault="00387232" w:rsidP="006A44C0">
            <w:pPr>
              <w:jc w:val="center"/>
              <w:rPr>
                <w:rFonts w:ascii="Calibri" w:hAnsi="Calibri" w:cs="Arial"/>
                <w:sz w:val="20"/>
                <w:szCs w:val="20"/>
                <w:lang w:eastAsia="en-GB"/>
              </w:rPr>
            </w:pPr>
          </w:p>
        </w:tc>
        <w:tc>
          <w:tcPr>
            <w:tcW w:w="1995" w:type="dxa"/>
            <w:tcBorders>
              <w:top w:val="nil"/>
              <w:left w:val="nil"/>
              <w:bottom w:val="nil"/>
              <w:right w:val="nil"/>
            </w:tcBorders>
            <w:shd w:val="clear" w:color="auto" w:fill="auto"/>
            <w:noWrap/>
            <w:vAlign w:val="bottom"/>
          </w:tcPr>
          <w:p w:rsidR="00387232" w:rsidRPr="006A44C0" w:rsidRDefault="00387232" w:rsidP="006A44C0">
            <w:pPr>
              <w:jc w:val="right"/>
              <w:rPr>
                <w:rFonts w:ascii="Calibri" w:hAnsi="Calibri" w:cs="Arial"/>
                <w:lang w:eastAsia="en-GB"/>
              </w:rPr>
            </w:pPr>
          </w:p>
        </w:tc>
        <w:tc>
          <w:tcPr>
            <w:tcW w:w="2552" w:type="dxa"/>
            <w:tcBorders>
              <w:top w:val="nil"/>
              <w:left w:val="nil"/>
              <w:bottom w:val="nil"/>
              <w:right w:val="nil"/>
            </w:tcBorders>
            <w:shd w:val="clear" w:color="auto" w:fill="auto"/>
            <w:noWrap/>
            <w:vAlign w:val="bottom"/>
          </w:tcPr>
          <w:p w:rsidR="00387232" w:rsidRPr="006A44C0" w:rsidRDefault="00387232" w:rsidP="006A44C0">
            <w:pPr>
              <w:jc w:val="right"/>
              <w:rPr>
                <w:rFonts w:ascii="Calibri" w:hAnsi="Calibri" w:cs="Arial"/>
                <w:lang w:eastAsia="en-GB"/>
              </w:rPr>
            </w:pPr>
          </w:p>
        </w:tc>
      </w:tr>
      <w:tr w:rsidR="00387232" w:rsidRPr="006A44C0" w:rsidTr="006A44C0">
        <w:trPr>
          <w:divId w:val="1937246360"/>
          <w:trHeight w:val="253"/>
        </w:trPr>
        <w:tc>
          <w:tcPr>
            <w:tcW w:w="3570" w:type="dxa"/>
            <w:tcBorders>
              <w:top w:val="nil"/>
              <w:left w:val="nil"/>
              <w:bottom w:val="nil"/>
              <w:right w:val="nil"/>
            </w:tcBorders>
            <w:shd w:val="clear" w:color="auto" w:fill="auto"/>
            <w:noWrap/>
            <w:vAlign w:val="bottom"/>
            <w:hideMark/>
          </w:tcPr>
          <w:p w:rsidR="00387232" w:rsidRPr="006A44C0" w:rsidRDefault="00387232" w:rsidP="006A44C0">
            <w:pPr>
              <w:jc w:val="left"/>
              <w:rPr>
                <w:rFonts w:ascii="Calibri" w:hAnsi="Calibri" w:cs="Arial"/>
                <w:b/>
                <w:bCs/>
                <w:lang w:eastAsia="en-GB"/>
              </w:rPr>
            </w:pPr>
            <w:r w:rsidRPr="006A44C0">
              <w:rPr>
                <w:rFonts w:ascii="Calibri" w:hAnsi="Calibri" w:cs="Arial"/>
                <w:b/>
                <w:bCs/>
                <w:lang w:eastAsia="en-GB"/>
              </w:rPr>
              <w:t>Net assets</w:t>
            </w:r>
          </w:p>
        </w:tc>
        <w:tc>
          <w:tcPr>
            <w:tcW w:w="672" w:type="dxa"/>
            <w:tcBorders>
              <w:top w:val="nil"/>
              <w:left w:val="nil"/>
              <w:bottom w:val="nil"/>
              <w:right w:val="nil"/>
            </w:tcBorders>
            <w:shd w:val="clear" w:color="auto" w:fill="auto"/>
            <w:noWrap/>
            <w:vAlign w:val="bottom"/>
            <w:hideMark/>
          </w:tcPr>
          <w:p w:rsidR="00387232" w:rsidRPr="006A44C0" w:rsidRDefault="00387232" w:rsidP="006A44C0">
            <w:pPr>
              <w:jc w:val="center"/>
              <w:rPr>
                <w:rFonts w:ascii="Calibri" w:hAnsi="Calibri" w:cs="Arial"/>
                <w:sz w:val="20"/>
                <w:szCs w:val="20"/>
                <w:lang w:eastAsia="en-GB"/>
              </w:rPr>
            </w:pPr>
          </w:p>
        </w:tc>
        <w:tc>
          <w:tcPr>
            <w:tcW w:w="1995" w:type="dxa"/>
            <w:tcBorders>
              <w:top w:val="single" w:sz="4" w:space="0" w:color="auto"/>
              <w:left w:val="nil"/>
              <w:bottom w:val="single" w:sz="8" w:space="0" w:color="auto"/>
              <w:right w:val="nil"/>
            </w:tcBorders>
            <w:shd w:val="clear" w:color="auto" w:fill="auto"/>
            <w:noWrap/>
            <w:vAlign w:val="bottom"/>
            <w:hideMark/>
          </w:tcPr>
          <w:p w:rsidR="00387232" w:rsidRPr="006A44C0" w:rsidRDefault="00E14A1B" w:rsidP="00E14A1B">
            <w:pPr>
              <w:jc w:val="right"/>
              <w:rPr>
                <w:rFonts w:ascii="Calibri" w:hAnsi="Calibri" w:cs="Arial"/>
                <w:lang w:eastAsia="en-GB"/>
              </w:rPr>
            </w:pPr>
            <w:r>
              <w:rPr>
                <w:rFonts w:ascii="Calibri" w:hAnsi="Calibri" w:cs="Arial"/>
                <w:lang w:eastAsia="en-GB"/>
              </w:rPr>
              <w:t xml:space="preserve">     46</w:t>
            </w:r>
            <w:r w:rsidR="00387232" w:rsidRPr="006A44C0">
              <w:rPr>
                <w:rFonts w:ascii="Calibri" w:hAnsi="Calibri" w:cs="Arial"/>
                <w:lang w:eastAsia="en-GB"/>
              </w:rPr>
              <w:t>,</w:t>
            </w:r>
            <w:r>
              <w:rPr>
                <w:rFonts w:ascii="Calibri" w:hAnsi="Calibri" w:cs="Arial"/>
                <w:lang w:eastAsia="en-GB"/>
              </w:rPr>
              <w:t>694</w:t>
            </w:r>
            <w:r w:rsidR="00387232" w:rsidRPr="006A44C0">
              <w:rPr>
                <w:rFonts w:ascii="Calibri" w:hAnsi="Calibri" w:cs="Arial"/>
                <w:lang w:eastAsia="en-GB"/>
              </w:rPr>
              <w:t xml:space="preserve"> </w:t>
            </w:r>
          </w:p>
        </w:tc>
        <w:tc>
          <w:tcPr>
            <w:tcW w:w="2552" w:type="dxa"/>
            <w:tcBorders>
              <w:top w:val="single" w:sz="4" w:space="0" w:color="auto"/>
              <w:left w:val="nil"/>
              <w:bottom w:val="single" w:sz="8" w:space="0" w:color="auto"/>
              <w:right w:val="nil"/>
            </w:tcBorders>
            <w:shd w:val="clear" w:color="auto" w:fill="auto"/>
            <w:noWrap/>
            <w:vAlign w:val="bottom"/>
            <w:hideMark/>
          </w:tcPr>
          <w:p w:rsidR="00387232" w:rsidRPr="006A44C0" w:rsidRDefault="00E14A1B" w:rsidP="00E14A1B">
            <w:pPr>
              <w:jc w:val="right"/>
              <w:rPr>
                <w:rFonts w:ascii="Calibri" w:hAnsi="Calibri" w:cs="Arial"/>
                <w:lang w:eastAsia="en-GB"/>
              </w:rPr>
            </w:pPr>
            <w:r>
              <w:rPr>
                <w:rFonts w:ascii="Calibri" w:hAnsi="Calibri" w:cs="Arial"/>
                <w:lang w:eastAsia="en-GB"/>
              </w:rPr>
              <w:t xml:space="preserve">     4</w:t>
            </w:r>
            <w:r w:rsidR="00387232" w:rsidRPr="006A44C0">
              <w:rPr>
                <w:rFonts w:ascii="Calibri" w:hAnsi="Calibri" w:cs="Arial"/>
                <w:lang w:eastAsia="en-GB"/>
              </w:rPr>
              <w:t>5,5</w:t>
            </w:r>
            <w:r>
              <w:rPr>
                <w:rFonts w:ascii="Calibri" w:hAnsi="Calibri" w:cs="Arial"/>
                <w:lang w:eastAsia="en-GB"/>
              </w:rPr>
              <w:t>0</w:t>
            </w:r>
            <w:r w:rsidR="00387232" w:rsidRPr="006A44C0">
              <w:rPr>
                <w:rFonts w:ascii="Calibri" w:hAnsi="Calibri" w:cs="Arial"/>
                <w:lang w:eastAsia="en-GB"/>
              </w:rPr>
              <w:t xml:space="preserve">3 </w:t>
            </w:r>
          </w:p>
        </w:tc>
      </w:tr>
      <w:tr w:rsidR="00387232" w:rsidRPr="006A44C0" w:rsidTr="006A44C0">
        <w:trPr>
          <w:divId w:val="1937246360"/>
          <w:trHeight w:val="241"/>
        </w:trPr>
        <w:tc>
          <w:tcPr>
            <w:tcW w:w="3570" w:type="dxa"/>
            <w:tcBorders>
              <w:top w:val="nil"/>
              <w:left w:val="nil"/>
              <w:bottom w:val="nil"/>
              <w:right w:val="nil"/>
            </w:tcBorders>
            <w:shd w:val="clear" w:color="auto" w:fill="auto"/>
            <w:noWrap/>
            <w:vAlign w:val="bottom"/>
            <w:hideMark/>
          </w:tcPr>
          <w:p w:rsidR="00387232" w:rsidRPr="006A44C0" w:rsidRDefault="00387232" w:rsidP="006A44C0">
            <w:pPr>
              <w:jc w:val="left"/>
              <w:rPr>
                <w:rFonts w:ascii="Calibri" w:hAnsi="Calibri" w:cs="Arial"/>
                <w:lang w:eastAsia="en-GB"/>
              </w:rPr>
            </w:pPr>
          </w:p>
        </w:tc>
        <w:tc>
          <w:tcPr>
            <w:tcW w:w="672" w:type="dxa"/>
            <w:tcBorders>
              <w:top w:val="nil"/>
              <w:left w:val="nil"/>
              <w:bottom w:val="nil"/>
              <w:right w:val="nil"/>
            </w:tcBorders>
            <w:shd w:val="clear" w:color="auto" w:fill="auto"/>
            <w:noWrap/>
            <w:vAlign w:val="bottom"/>
            <w:hideMark/>
          </w:tcPr>
          <w:p w:rsidR="00387232" w:rsidRPr="006A44C0" w:rsidRDefault="00387232" w:rsidP="006A44C0">
            <w:pPr>
              <w:jc w:val="center"/>
              <w:rPr>
                <w:rFonts w:ascii="Calibri" w:hAnsi="Calibri" w:cs="Arial"/>
                <w:sz w:val="20"/>
                <w:szCs w:val="20"/>
                <w:lang w:eastAsia="en-GB"/>
              </w:rPr>
            </w:pPr>
          </w:p>
        </w:tc>
        <w:tc>
          <w:tcPr>
            <w:tcW w:w="1995" w:type="dxa"/>
            <w:tcBorders>
              <w:top w:val="nil"/>
              <w:left w:val="nil"/>
              <w:bottom w:val="nil"/>
              <w:right w:val="nil"/>
            </w:tcBorders>
            <w:shd w:val="clear" w:color="auto" w:fill="auto"/>
            <w:noWrap/>
            <w:vAlign w:val="bottom"/>
            <w:hideMark/>
          </w:tcPr>
          <w:p w:rsidR="00387232" w:rsidRPr="006A44C0" w:rsidRDefault="00387232" w:rsidP="006A44C0">
            <w:pPr>
              <w:jc w:val="right"/>
              <w:rPr>
                <w:rFonts w:ascii="Calibri" w:hAnsi="Calibri" w:cs="Arial"/>
                <w:lang w:eastAsia="en-GB"/>
              </w:rPr>
            </w:pPr>
          </w:p>
        </w:tc>
        <w:tc>
          <w:tcPr>
            <w:tcW w:w="2552" w:type="dxa"/>
            <w:tcBorders>
              <w:top w:val="nil"/>
              <w:left w:val="nil"/>
              <w:bottom w:val="nil"/>
              <w:right w:val="nil"/>
            </w:tcBorders>
            <w:shd w:val="clear" w:color="auto" w:fill="auto"/>
            <w:noWrap/>
            <w:vAlign w:val="bottom"/>
            <w:hideMark/>
          </w:tcPr>
          <w:p w:rsidR="00387232" w:rsidRPr="006A44C0" w:rsidRDefault="00387232" w:rsidP="006A44C0">
            <w:pPr>
              <w:jc w:val="left"/>
              <w:rPr>
                <w:rFonts w:ascii="Calibri" w:hAnsi="Calibri" w:cs="Arial"/>
                <w:lang w:eastAsia="en-GB"/>
              </w:rPr>
            </w:pPr>
          </w:p>
        </w:tc>
      </w:tr>
      <w:tr w:rsidR="00387232" w:rsidRPr="006A44C0" w:rsidTr="006A44C0">
        <w:trPr>
          <w:divId w:val="1937246360"/>
          <w:trHeight w:val="241"/>
        </w:trPr>
        <w:tc>
          <w:tcPr>
            <w:tcW w:w="6237" w:type="dxa"/>
            <w:gridSpan w:val="3"/>
            <w:tcBorders>
              <w:top w:val="nil"/>
              <w:left w:val="nil"/>
              <w:bottom w:val="nil"/>
              <w:right w:val="nil"/>
            </w:tcBorders>
            <w:shd w:val="clear" w:color="auto" w:fill="auto"/>
            <w:noWrap/>
            <w:vAlign w:val="bottom"/>
            <w:hideMark/>
          </w:tcPr>
          <w:p w:rsidR="00387232" w:rsidRPr="006A44C0" w:rsidRDefault="00387232" w:rsidP="006A44C0">
            <w:pPr>
              <w:rPr>
                <w:rFonts w:ascii="Calibri" w:hAnsi="Calibri" w:cs="Arial"/>
                <w:b/>
                <w:bCs/>
                <w:lang w:eastAsia="en-GB"/>
              </w:rPr>
            </w:pPr>
            <w:r w:rsidRPr="006A44C0">
              <w:rPr>
                <w:rFonts w:ascii="Calibri" w:hAnsi="Calibri" w:cs="Arial"/>
                <w:b/>
                <w:bCs/>
                <w:lang w:eastAsia="en-GB"/>
              </w:rPr>
              <w:t>Equity attributable to equity holders</w:t>
            </w:r>
          </w:p>
        </w:tc>
        <w:tc>
          <w:tcPr>
            <w:tcW w:w="2552" w:type="dxa"/>
            <w:tcBorders>
              <w:top w:val="nil"/>
              <w:left w:val="nil"/>
              <w:bottom w:val="nil"/>
              <w:right w:val="nil"/>
            </w:tcBorders>
            <w:shd w:val="clear" w:color="auto" w:fill="auto"/>
            <w:noWrap/>
            <w:vAlign w:val="bottom"/>
            <w:hideMark/>
          </w:tcPr>
          <w:p w:rsidR="00387232" w:rsidRPr="006A44C0" w:rsidRDefault="00387232" w:rsidP="006A44C0">
            <w:pPr>
              <w:jc w:val="left"/>
              <w:rPr>
                <w:rFonts w:ascii="Calibri" w:hAnsi="Calibri" w:cs="Arial"/>
                <w:lang w:eastAsia="en-GB"/>
              </w:rPr>
            </w:pPr>
          </w:p>
        </w:tc>
      </w:tr>
      <w:tr w:rsidR="00387232" w:rsidRPr="006A44C0" w:rsidTr="006A44C0">
        <w:trPr>
          <w:divId w:val="1937246360"/>
          <w:trHeight w:val="241"/>
        </w:trPr>
        <w:tc>
          <w:tcPr>
            <w:tcW w:w="3570" w:type="dxa"/>
            <w:tcBorders>
              <w:top w:val="nil"/>
              <w:left w:val="nil"/>
              <w:bottom w:val="nil"/>
              <w:right w:val="nil"/>
            </w:tcBorders>
            <w:shd w:val="clear" w:color="auto" w:fill="auto"/>
            <w:noWrap/>
            <w:vAlign w:val="bottom"/>
            <w:hideMark/>
          </w:tcPr>
          <w:p w:rsidR="00387232" w:rsidRPr="006A44C0" w:rsidRDefault="00387232" w:rsidP="006A44C0">
            <w:pPr>
              <w:jc w:val="left"/>
              <w:rPr>
                <w:rFonts w:ascii="Calibri" w:hAnsi="Calibri" w:cs="Arial"/>
                <w:lang w:eastAsia="en-GB"/>
              </w:rPr>
            </w:pPr>
            <w:r w:rsidRPr="006A44C0">
              <w:rPr>
                <w:rFonts w:ascii="Calibri" w:hAnsi="Calibri" w:cs="Arial"/>
                <w:lang w:eastAsia="en-GB"/>
              </w:rPr>
              <w:t>Share capital</w:t>
            </w:r>
          </w:p>
        </w:tc>
        <w:tc>
          <w:tcPr>
            <w:tcW w:w="672" w:type="dxa"/>
            <w:tcBorders>
              <w:top w:val="nil"/>
              <w:left w:val="nil"/>
              <w:bottom w:val="nil"/>
              <w:right w:val="nil"/>
            </w:tcBorders>
            <w:shd w:val="clear" w:color="auto" w:fill="auto"/>
            <w:noWrap/>
            <w:vAlign w:val="bottom"/>
            <w:hideMark/>
          </w:tcPr>
          <w:p w:rsidR="00387232" w:rsidRPr="006A44C0" w:rsidRDefault="00387232" w:rsidP="006A44C0">
            <w:pPr>
              <w:jc w:val="center"/>
              <w:rPr>
                <w:rFonts w:ascii="Calibri" w:hAnsi="Calibri" w:cs="Arial"/>
                <w:sz w:val="20"/>
                <w:szCs w:val="20"/>
                <w:lang w:eastAsia="en-GB"/>
              </w:rPr>
            </w:pPr>
          </w:p>
        </w:tc>
        <w:tc>
          <w:tcPr>
            <w:tcW w:w="1995" w:type="dxa"/>
            <w:tcBorders>
              <w:top w:val="nil"/>
              <w:left w:val="nil"/>
              <w:bottom w:val="nil"/>
              <w:right w:val="nil"/>
            </w:tcBorders>
            <w:shd w:val="clear" w:color="auto" w:fill="auto"/>
            <w:noWrap/>
            <w:vAlign w:val="bottom"/>
            <w:hideMark/>
          </w:tcPr>
          <w:p w:rsidR="00387232" w:rsidRPr="006A44C0" w:rsidRDefault="00E14A1B" w:rsidP="006A44C0">
            <w:pPr>
              <w:jc w:val="right"/>
              <w:rPr>
                <w:rFonts w:ascii="Calibri" w:hAnsi="Calibri" w:cs="Arial"/>
                <w:lang w:eastAsia="en-GB"/>
              </w:rPr>
            </w:pPr>
            <w:r>
              <w:rPr>
                <w:rFonts w:ascii="Calibri" w:hAnsi="Calibri" w:cs="Arial"/>
                <w:lang w:eastAsia="en-GB"/>
              </w:rPr>
              <w:t>16,247</w:t>
            </w:r>
            <w:r w:rsidR="00387232" w:rsidRPr="006A44C0">
              <w:rPr>
                <w:rFonts w:ascii="Calibri" w:hAnsi="Calibri" w:cs="Arial"/>
                <w:lang w:eastAsia="en-GB"/>
              </w:rPr>
              <w:t xml:space="preserve"> </w:t>
            </w:r>
          </w:p>
        </w:tc>
        <w:tc>
          <w:tcPr>
            <w:tcW w:w="2552" w:type="dxa"/>
            <w:tcBorders>
              <w:top w:val="nil"/>
              <w:left w:val="nil"/>
              <w:bottom w:val="nil"/>
              <w:right w:val="nil"/>
            </w:tcBorders>
            <w:shd w:val="clear" w:color="auto" w:fill="auto"/>
            <w:noWrap/>
            <w:vAlign w:val="bottom"/>
            <w:hideMark/>
          </w:tcPr>
          <w:p w:rsidR="00387232" w:rsidRPr="006A44C0" w:rsidRDefault="00387232" w:rsidP="00E14A1B">
            <w:pPr>
              <w:jc w:val="right"/>
              <w:rPr>
                <w:rFonts w:ascii="Calibri" w:hAnsi="Calibri" w:cs="Arial"/>
                <w:lang w:eastAsia="en-GB"/>
              </w:rPr>
            </w:pPr>
            <w:r w:rsidRPr="006A44C0">
              <w:rPr>
                <w:rFonts w:ascii="Calibri" w:hAnsi="Calibri" w:cs="Arial"/>
                <w:lang w:eastAsia="en-GB"/>
              </w:rPr>
              <w:t>1</w:t>
            </w:r>
            <w:r w:rsidR="00E14A1B">
              <w:rPr>
                <w:rFonts w:ascii="Calibri" w:hAnsi="Calibri" w:cs="Arial"/>
                <w:lang w:eastAsia="en-GB"/>
              </w:rPr>
              <w:t>6</w:t>
            </w:r>
            <w:r w:rsidRPr="006A44C0">
              <w:rPr>
                <w:rFonts w:ascii="Calibri" w:hAnsi="Calibri" w:cs="Arial"/>
                <w:lang w:eastAsia="en-GB"/>
              </w:rPr>
              <w:t>,</w:t>
            </w:r>
            <w:r w:rsidR="00E14A1B">
              <w:rPr>
                <w:rFonts w:ascii="Calibri" w:hAnsi="Calibri" w:cs="Arial"/>
                <w:lang w:eastAsia="en-GB"/>
              </w:rPr>
              <w:t>162</w:t>
            </w:r>
            <w:r w:rsidRPr="006A44C0">
              <w:rPr>
                <w:rFonts w:ascii="Calibri" w:hAnsi="Calibri" w:cs="Arial"/>
                <w:lang w:eastAsia="en-GB"/>
              </w:rPr>
              <w:t xml:space="preserve"> </w:t>
            </w:r>
          </w:p>
        </w:tc>
      </w:tr>
      <w:tr w:rsidR="00387232" w:rsidRPr="006A44C0" w:rsidTr="006A44C0">
        <w:trPr>
          <w:divId w:val="1937246360"/>
          <w:trHeight w:val="241"/>
        </w:trPr>
        <w:tc>
          <w:tcPr>
            <w:tcW w:w="3570" w:type="dxa"/>
            <w:tcBorders>
              <w:top w:val="nil"/>
              <w:left w:val="nil"/>
              <w:bottom w:val="nil"/>
              <w:right w:val="nil"/>
            </w:tcBorders>
            <w:shd w:val="clear" w:color="auto" w:fill="auto"/>
            <w:noWrap/>
            <w:vAlign w:val="bottom"/>
            <w:hideMark/>
          </w:tcPr>
          <w:p w:rsidR="00387232" w:rsidRPr="006A44C0" w:rsidRDefault="00387232" w:rsidP="006A44C0">
            <w:pPr>
              <w:jc w:val="left"/>
              <w:rPr>
                <w:rFonts w:ascii="Calibri" w:hAnsi="Calibri" w:cs="Arial"/>
                <w:lang w:eastAsia="en-GB"/>
              </w:rPr>
            </w:pPr>
            <w:r w:rsidRPr="006A44C0">
              <w:rPr>
                <w:rFonts w:ascii="Calibri" w:hAnsi="Calibri" w:cs="Arial"/>
                <w:lang w:eastAsia="en-GB"/>
              </w:rPr>
              <w:t>Share premium account</w:t>
            </w:r>
          </w:p>
        </w:tc>
        <w:tc>
          <w:tcPr>
            <w:tcW w:w="672" w:type="dxa"/>
            <w:tcBorders>
              <w:top w:val="nil"/>
              <w:left w:val="nil"/>
              <w:bottom w:val="nil"/>
              <w:right w:val="nil"/>
            </w:tcBorders>
            <w:shd w:val="clear" w:color="auto" w:fill="auto"/>
            <w:noWrap/>
            <w:vAlign w:val="bottom"/>
            <w:hideMark/>
          </w:tcPr>
          <w:p w:rsidR="00387232" w:rsidRPr="006A44C0" w:rsidRDefault="00387232" w:rsidP="006A44C0">
            <w:pPr>
              <w:jc w:val="center"/>
              <w:rPr>
                <w:rFonts w:ascii="Calibri" w:hAnsi="Calibri" w:cs="Arial"/>
                <w:sz w:val="20"/>
                <w:szCs w:val="20"/>
                <w:lang w:eastAsia="en-GB"/>
              </w:rPr>
            </w:pPr>
          </w:p>
        </w:tc>
        <w:tc>
          <w:tcPr>
            <w:tcW w:w="1995" w:type="dxa"/>
            <w:tcBorders>
              <w:top w:val="nil"/>
              <w:left w:val="nil"/>
              <w:bottom w:val="nil"/>
              <w:right w:val="nil"/>
            </w:tcBorders>
            <w:shd w:val="clear" w:color="auto" w:fill="auto"/>
            <w:noWrap/>
            <w:vAlign w:val="bottom"/>
            <w:hideMark/>
          </w:tcPr>
          <w:p w:rsidR="00387232" w:rsidRPr="006A44C0" w:rsidRDefault="00387232" w:rsidP="006A44C0">
            <w:pPr>
              <w:jc w:val="right"/>
              <w:rPr>
                <w:rFonts w:ascii="Calibri" w:hAnsi="Calibri" w:cs="Arial"/>
                <w:lang w:eastAsia="en-GB"/>
              </w:rPr>
            </w:pPr>
            <w:r w:rsidRPr="006A44C0">
              <w:rPr>
                <w:rFonts w:ascii="Calibri" w:hAnsi="Calibri" w:cs="Arial"/>
                <w:lang w:eastAsia="en-GB"/>
              </w:rPr>
              <w:t xml:space="preserve">11,495 </w:t>
            </w:r>
          </w:p>
        </w:tc>
        <w:tc>
          <w:tcPr>
            <w:tcW w:w="2552" w:type="dxa"/>
            <w:tcBorders>
              <w:top w:val="nil"/>
              <w:left w:val="nil"/>
              <w:bottom w:val="nil"/>
              <w:right w:val="nil"/>
            </w:tcBorders>
            <w:shd w:val="clear" w:color="auto" w:fill="auto"/>
            <w:noWrap/>
            <w:vAlign w:val="bottom"/>
            <w:hideMark/>
          </w:tcPr>
          <w:p w:rsidR="00387232" w:rsidRPr="006A44C0" w:rsidRDefault="00E14A1B" w:rsidP="006A44C0">
            <w:pPr>
              <w:jc w:val="right"/>
              <w:rPr>
                <w:rFonts w:ascii="Calibri" w:hAnsi="Calibri" w:cs="Arial"/>
                <w:lang w:eastAsia="en-GB"/>
              </w:rPr>
            </w:pPr>
            <w:r>
              <w:rPr>
                <w:rFonts w:ascii="Calibri" w:hAnsi="Calibri" w:cs="Arial"/>
                <w:lang w:eastAsia="en-GB"/>
              </w:rPr>
              <w:t>11,495</w:t>
            </w:r>
            <w:r w:rsidR="00387232" w:rsidRPr="006A44C0">
              <w:rPr>
                <w:rFonts w:ascii="Calibri" w:hAnsi="Calibri" w:cs="Arial"/>
                <w:lang w:eastAsia="en-GB"/>
              </w:rPr>
              <w:t xml:space="preserve"> </w:t>
            </w:r>
          </w:p>
        </w:tc>
      </w:tr>
      <w:tr w:rsidR="00387232" w:rsidRPr="006A44C0" w:rsidTr="006A44C0">
        <w:trPr>
          <w:divId w:val="1937246360"/>
          <w:trHeight w:val="241"/>
        </w:trPr>
        <w:tc>
          <w:tcPr>
            <w:tcW w:w="3570" w:type="dxa"/>
            <w:tcBorders>
              <w:top w:val="nil"/>
              <w:left w:val="nil"/>
              <w:bottom w:val="nil"/>
              <w:right w:val="nil"/>
            </w:tcBorders>
            <w:shd w:val="clear" w:color="auto" w:fill="auto"/>
            <w:noWrap/>
            <w:vAlign w:val="bottom"/>
            <w:hideMark/>
          </w:tcPr>
          <w:p w:rsidR="00387232" w:rsidRPr="006A44C0" w:rsidRDefault="00387232" w:rsidP="006A44C0">
            <w:pPr>
              <w:jc w:val="left"/>
              <w:rPr>
                <w:rFonts w:ascii="Calibri" w:hAnsi="Calibri" w:cs="Arial"/>
                <w:lang w:eastAsia="en-GB"/>
              </w:rPr>
            </w:pPr>
            <w:r w:rsidRPr="006A44C0">
              <w:rPr>
                <w:rFonts w:ascii="Calibri" w:hAnsi="Calibri" w:cs="Arial"/>
                <w:lang w:eastAsia="en-GB"/>
              </w:rPr>
              <w:t>Reserves</w:t>
            </w:r>
          </w:p>
        </w:tc>
        <w:tc>
          <w:tcPr>
            <w:tcW w:w="672" w:type="dxa"/>
            <w:tcBorders>
              <w:top w:val="nil"/>
              <w:left w:val="nil"/>
              <w:bottom w:val="nil"/>
              <w:right w:val="nil"/>
            </w:tcBorders>
            <w:shd w:val="clear" w:color="auto" w:fill="auto"/>
            <w:noWrap/>
            <w:vAlign w:val="bottom"/>
            <w:hideMark/>
          </w:tcPr>
          <w:p w:rsidR="00387232" w:rsidRPr="006A44C0" w:rsidRDefault="00387232" w:rsidP="006A44C0">
            <w:pPr>
              <w:jc w:val="center"/>
              <w:rPr>
                <w:rFonts w:ascii="Calibri" w:hAnsi="Calibri" w:cs="Arial"/>
                <w:sz w:val="20"/>
                <w:szCs w:val="20"/>
                <w:lang w:eastAsia="en-GB"/>
              </w:rPr>
            </w:pPr>
          </w:p>
        </w:tc>
        <w:tc>
          <w:tcPr>
            <w:tcW w:w="1995" w:type="dxa"/>
            <w:tcBorders>
              <w:top w:val="nil"/>
              <w:left w:val="nil"/>
              <w:bottom w:val="nil"/>
              <w:right w:val="nil"/>
            </w:tcBorders>
            <w:shd w:val="clear" w:color="auto" w:fill="auto"/>
            <w:noWrap/>
            <w:vAlign w:val="bottom"/>
            <w:hideMark/>
          </w:tcPr>
          <w:p w:rsidR="00387232" w:rsidRPr="006A44C0" w:rsidRDefault="00E14A1B" w:rsidP="00E14A1B">
            <w:pPr>
              <w:jc w:val="right"/>
              <w:rPr>
                <w:rFonts w:ascii="Calibri" w:hAnsi="Calibri" w:cs="Arial"/>
                <w:lang w:eastAsia="en-GB"/>
              </w:rPr>
            </w:pPr>
            <w:r>
              <w:rPr>
                <w:rFonts w:ascii="Calibri" w:hAnsi="Calibri" w:cs="Arial"/>
                <w:lang w:eastAsia="en-GB"/>
              </w:rPr>
              <w:t>17</w:t>
            </w:r>
            <w:r w:rsidR="00387232" w:rsidRPr="006A44C0">
              <w:rPr>
                <w:rFonts w:ascii="Calibri" w:hAnsi="Calibri" w:cs="Arial"/>
                <w:lang w:eastAsia="en-GB"/>
              </w:rPr>
              <w:t>,</w:t>
            </w:r>
            <w:r>
              <w:rPr>
                <w:rFonts w:ascii="Calibri" w:hAnsi="Calibri" w:cs="Arial"/>
                <w:lang w:eastAsia="en-GB"/>
              </w:rPr>
              <w:t>530</w:t>
            </w:r>
            <w:r w:rsidR="00387232" w:rsidRPr="006A44C0">
              <w:rPr>
                <w:rFonts w:ascii="Calibri" w:hAnsi="Calibri" w:cs="Arial"/>
                <w:lang w:eastAsia="en-GB"/>
              </w:rPr>
              <w:t xml:space="preserve"> </w:t>
            </w:r>
          </w:p>
        </w:tc>
        <w:tc>
          <w:tcPr>
            <w:tcW w:w="2552" w:type="dxa"/>
            <w:tcBorders>
              <w:top w:val="nil"/>
              <w:left w:val="nil"/>
              <w:bottom w:val="nil"/>
              <w:right w:val="nil"/>
            </w:tcBorders>
            <w:shd w:val="clear" w:color="auto" w:fill="auto"/>
            <w:noWrap/>
            <w:vAlign w:val="bottom"/>
            <w:hideMark/>
          </w:tcPr>
          <w:p w:rsidR="00387232" w:rsidRPr="006A44C0" w:rsidRDefault="00E14A1B" w:rsidP="00E14A1B">
            <w:pPr>
              <w:jc w:val="right"/>
              <w:rPr>
                <w:rFonts w:ascii="Calibri" w:hAnsi="Calibri" w:cs="Arial"/>
                <w:lang w:eastAsia="en-GB"/>
              </w:rPr>
            </w:pPr>
            <w:r>
              <w:rPr>
                <w:rFonts w:ascii="Calibri" w:hAnsi="Calibri" w:cs="Arial"/>
                <w:lang w:eastAsia="en-GB"/>
              </w:rPr>
              <w:t>20</w:t>
            </w:r>
            <w:r w:rsidR="00387232" w:rsidRPr="006A44C0">
              <w:rPr>
                <w:rFonts w:ascii="Calibri" w:hAnsi="Calibri" w:cs="Arial"/>
                <w:lang w:eastAsia="en-GB"/>
              </w:rPr>
              <w:t>,</w:t>
            </w:r>
            <w:r>
              <w:rPr>
                <w:rFonts w:ascii="Calibri" w:hAnsi="Calibri" w:cs="Arial"/>
                <w:lang w:eastAsia="en-GB"/>
              </w:rPr>
              <w:t>930</w:t>
            </w:r>
            <w:r w:rsidR="00387232" w:rsidRPr="006A44C0">
              <w:rPr>
                <w:rFonts w:ascii="Calibri" w:hAnsi="Calibri" w:cs="Arial"/>
                <w:lang w:eastAsia="en-GB"/>
              </w:rPr>
              <w:t xml:space="preserve"> </w:t>
            </w:r>
          </w:p>
        </w:tc>
      </w:tr>
      <w:tr w:rsidR="00387232" w:rsidRPr="006A44C0" w:rsidTr="006A44C0">
        <w:trPr>
          <w:divId w:val="1937246360"/>
          <w:trHeight w:val="241"/>
        </w:trPr>
        <w:tc>
          <w:tcPr>
            <w:tcW w:w="3570" w:type="dxa"/>
            <w:tcBorders>
              <w:top w:val="nil"/>
              <w:left w:val="nil"/>
              <w:bottom w:val="nil"/>
              <w:right w:val="nil"/>
            </w:tcBorders>
            <w:shd w:val="clear" w:color="auto" w:fill="auto"/>
            <w:noWrap/>
            <w:vAlign w:val="bottom"/>
            <w:hideMark/>
          </w:tcPr>
          <w:p w:rsidR="00387232" w:rsidRPr="006A44C0" w:rsidRDefault="00387232" w:rsidP="006A44C0">
            <w:pPr>
              <w:jc w:val="left"/>
              <w:rPr>
                <w:rFonts w:ascii="Calibri" w:hAnsi="Calibri" w:cs="Arial"/>
                <w:lang w:eastAsia="en-GB"/>
              </w:rPr>
            </w:pPr>
            <w:r w:rsidRPr="006A44C0">
              <w:rPr>
                <w:rFonts w:ascii="Calibri" w:hAnsi="Calibri" w:cs="Arial"/>
                <w:lang w:eastAsia="en-GB"/>
              </w:rPr>
              <w:t>Retained earnings</w:t>
            </w:r>
          </w:p>
        </w:tc>
        <w:tc>
          <w:tcPr>
            <w:tcW w:w="672" w:type="dxa"/>
            <w:tcBorders>
              <w:top w:val="nil"/>
              <w:left w:val="nil"/>
              <w:bottom w:val="nil"/>
              <w:right w:val="nil"/>
            </w:tcBorders>
            <w:shd w:val="clear" w:color="auto" w:fill="auto"/>
            <w:noWrap/>
            <w:vAlign w:val="bottom"/>
            <w:hideMark/>
          </w:tcPr>
          <w:p w:rsidR="00387232" w:rsidRPr="006A44C0" w:rsidRDefault="00387232" w:rsidP="006A44C0">
            <w:pPr>
              <w:jc w:val="center"/>
              <w:rPr>
                <w:rFonts w:ascii="Calibri" w:hAnsi="Calibri" w:cs="Arial"/>
                <w:sz w:val="20"/>
                <w:szCs w:val="20"/>
                <w:lang w:eastAsia="en-GB"/>
              </w:rPr>
            </w:pPr>
          </w:p>
        </w:tc>
        <w:tc>
          <w:tcPr>
            <w:tcW w:w="1995" w:type="dxa"/>
            <w:tcBorders>
              <w:top w:val="nil"/>
              <w:left w:val="nil"/>
              <w:bottom w:val="nil"/>
              <w:right w:val="nil"/>
            </w:tcBorders>
            <w:shd w:val="clear" w:color="auto" w:fill="auto"/>
            <w:noWrap/>
            <w:vAlign w:val="bottom"/>
            <w:hideMark/>
          </w:tcPr>
          <w:p w:rsidR="00387232" w:rsidRPr="006A44C0" w:rsidRDefault="00E14A1B" w:rsidP="006A44C0">
            <w:pPr>
              <w:jc w:val="right"/>
              <w:rPr>
                <w:rFonts w:ascii="Calibri" w:hAnsi="Calibri" w:cs="Arial"/>
                <w:lang w:eastAsia="en-GB"/>
              </w:rPr>
            </w:pPr>
            <w:r>
              <w:rPr>
                <w:rFonts w:ascii="Calibri" w:hAnsi="Calibri" w:cs="Arial"/>
                <w:lang w:eastAsia="en-GB"/>
              </w:rPr>
              <w:t>1,422</w:t>
            </w:r>
          </w:p>
        </w:tc>
        <w:tc>
          <w:tcPr>
            <w:tcW w:w="2552" w:type="dxa"/>
            <w:tcBorders>
              <w:top w:val="nil"/>
              <w:left w:val="nil"/>
              <w:bottom w:val="nil"/>
              <w:right w:val="nil"/>
            </w:tcBorders>
            <w:shd w:val="clear" w:color="auto" w:fill="auto"/>
            <w:noWrap/>
            <w:vAlign w:val="bottom"/>
            <w:hideMark/>
          </w:tcPr>
          <w:p w:rsidR="00387232" w:rsidRPr="006A44C0" w:rsidRDefault="00E14A1B" w:rsidP="006A44C0">
            <w:pPr>
              <w:jc w:val="right"/>
              <w:rPr>
                <w:rFonts w:ascii="Calibri" w:hAnsi="Calibri" w:cs="Arial"/>
                <w:lang w:eastAsia="en-GB"/>
              </w:rPr>
            </w:pPr>
            <w:r>
              <w:rPr>
                <w:rFonts w:ascii="Calibri" w:hAnsi="Calibri" w:cs="Arial"/>
                <w:lang w:eastAsia="en-GB"/>
              </w:rPr>
              <w:t>(3,08</w:t>
            </w:r>
            <w:r w:rsidR="00387232" w:rsidRPr="006A44C0">
              <w:rPr>
                <w:rFonts w:ascii="Calibri" w:hAnsi="Calibri" w:cs="Arial"/>
                <w:lang w:eastAsia="en-GB"/>
              </w:rPr>
              <w:t>4)</w:t>
            </w:r>
          </w:p>
        </w:tc>
      </w:tr>
      <w:tr w:rsidR="00387232" w:rsidRPr="006A44C0" w:rsidTr="006A44C0">
        <w:trPr>
          <w:divId w:val="1937246360"/>
          <w:trHeight w:val="253"/>
        </w:trPr>
        <w:tc>
          <w:tcPr>
            <w:tcW w:w="3570" w:type="dxa"/>
            <w:tcBorders>
              <w:top w:val="nil"/>
              <w:left w:val="nil"/>
              <w:bottom w:val="nil"/>
              <w:right w:val="nil"/>
            </w:tcBorders>
            <w:shd w:val="clear" w:color="auto" w:fill="auto"/>
            <w:noWrap/>
            <w:vAlign w:val="bottom"/>
            <w:hideMark/>
          </w:tcPr>
          <w:p w:rsidR="00387232" w:rsidRPr="006A44C0" w:rsidRDefault="00387232" w:rsidP="006A44C0">
            <w:pPr>
              <w:jc w:val="left"/>
              <w:rPr>
                <w:rFonts w:ascii="Calibri" w:hAnsi="Calibri" w:cs="Arial"/>
                <w:b/>
                <w:bCs/>
                <w:lang w:eastAsia="en-GB"/>
              </w:rPr>
            </w:pPr>
            <w:r w:rsidRPr="006A44C0">
              <w:rPr>
                <w:rFonts w:ascii="Calibri" w:hAnsi="Calibri" w:cs="Arial"/>
                <w:b/>
                <w:bCs/>
                <w:lang w:eastAsia="en-GB"/>
              </w:rPr>
              <w:t>Total equity</w:t>
            </w:r>
          </w:p>
        </w:tc>
        <w:tc>
          <w:tcPr>
            <w:tcW w:w="672" w:type="dxa"/>
            <w:tcBorders>
              <w:top w:val="nil"/>
              <w:left w:val="nil"/>
              <w:bottom w:val="nil"/>
              <w:right w:val="nil"/>
            </w:tcBorders>
            <w:shd w:val="clear" w:color="auto" w:fill="auto"/>
            <w:noWrap/>
            <w:vAlign w:val="bottom"/>
            <w:hideMark/>
          </w:tcPr>
          <w:p w:rsidR="00387232" w:rsidRPr="006A44C0" w:rsidRDefault="00387232" w:rsidP="006A44C0">
            <w:pPr>
              <w:jc w:val="center"/>
              <w:rPr>
                <w:rFonts w:ascii="Calibri" w:hAnsi="Calibri" w:cs="Arial"/>
                <w:sz w:val="20"/>
                <w:szCs w:val="20"/>
                <w:lang w:eastAsia="en-GB"/>
              </w:rPr>
            </w:pPr>
          </w:p>
        </w:tc>
        <w:tc>
          <w:tcPr>
            <w:tcW w:w="1995" w:type="dxa"/>
            <w:tcBorders>
              <w:top w:val="single" w:sz="4" w:space="0" w:color="auto"/>
              <w:left w:val="nil"/>
              <w:bottom w:val="single" w:sz="8" w:space="0" w:color="auto"/>
              <w:right w:val="nil"/>
            </w:tcBorders>
            <w:shd w:val="clear" w:color="auto" w:fill="auto"/>
            <w:noWrap/>
            <w:vAlign w:val="bottom"/>
            <w:hideMark/>
          </w:tcPr>
          <w:p w:rsidR="00387232" w:rsidRPr="006A44C0" w:rsidRDefault="00E14A1B" w:rsidP="00E14A1B">
            <w:pPr>
              <w:jc w:val="right"/>
              <w:rPr>
                <w:rFonts w:ascii="Calibri" w:hAnsi="Calibri" w:cs="Arial"/>
                <w:lang w:eastAsia="en-GB"/>
              </w:rPr>
            </w:pPr>
            <w:r>
              <w:rPr>
                <w:rFonts w:ascii="Calibri" w:hAnsi="Calibri" w:cs="Arial"/>
                <w:lang w:eastAsia="en-GB"/>
              </w:rPr>
              <w:t xml:space="preserve">     46</w:t>
            </w:r>
            <w:r w:rsidR="00387232" w:rsidRPr="006A44C0">
              <w:rPr>
                <w:rFonts w:ascii="Calibri" w:hAnsi="Calibri" w:cs="Arial"/>
                <w:lang w:eastAsia="en-GB"/>
              </w:rPr>
              <w:t>,</w:t>
            </w:r>
            <w:r>
              <w:rPr>
                <w:rFonts w:ascii="Calibri" w:hAnsi="Calibri" w:cs="Arial"/>
                <w:lang w:eastAsia="en-GB"/>
              </w:rPr>
              <w:t>694</w:t>
            </w:r>
            <w:r w:rsidR="00387232" w:rsidRPr="006A44C0">
              <w:rPr>
                <w:rFonts w:ascii="Calibri" w:hAnsi="Calibri" w:cs="Arial"/>
                <w:lang w:eastAsia="en-GB"/>
              </w:rPr>
              <w:t xml:space="preserve"> </w:t>
            </w:r>
          </w:p>
        </w:tc>
        <w:tc>
          <w:tcPr>
            <w:tcW w:w="2552" w:type="dxa"/>
            <w:tcBorders>
              <w:top w:val="single" w:sz="4" w:space="0" w:color="auto"/>
              <w:left w:val="nil"/>
              <w:bottom w:val="single" w:sz="8" w:space="0" w:color="auto"/>
              <w:right w:val="nil"/>
            </w:tcBorders>
            <w:shd w:val="clear" w:color="auto" w:fill="auto"/>
            <w:noWrap/>
            <w:vAlign w:val="bottom"/>
            <w:hideMark/>
          </w:tcPr>
          <w:p w:rsidR="00387232" w:rsidRPr="006A44C0" w:rsidRDefault="00E14A1B" w:rsidP="00E14A1B">
            <w:pPr>
              <w:jc w:val="right"/>
              <w:rPr>
                <w:rFonts w:ascii="Calibri" w:hAnsi="Calibri" w:cs="Arial"/>
                <w:lang w:eastAsia="en-GB"/>
              </w:rPr>
            </w:pPr>
            <w:r>
              <w:rPr>
                <w:rFonts w:ascii="Calibri" w:hAnsi="Calibri" w:cs="Arial"/>
                <w:lang w:eastAsia="en-GB"/>
              </w:rPr>
              <w:t xml:space="preserve">     4</w:t>
            </w:r>
            <w:r w:rsidR="00387232" w:rsidRPr="006A44C0">
              <w:rPr>
                <w:rFonts w:ascii="Calibri" w:hAnsi="Calibri" w:cs="Arial"/>
                <w:lang w:eastAsia="en-GB"/>
              </w:rPr>
              <w:t>5,5</w:t>
            </w:r>
            <w:r>
              <w:rPr>
                <w:rFonts w:ascii="Calibri" w:hAnsi="Calibri" w:cs="Arial"/>
                <w:lang w:eastAsia="en-GB"/>
              </w:rPr>
              <w:t>0</w:t>
            </w:r>
            <w:r w:rsidR="00387232" w:rsidRPr="006A44C0">
              <w:rPr>
                <w:rFonts w:ascii="Calibri" w:hAnsi="Calibri" w:cs="Arial"/>
                <w:lang w:eastAsia="en-GB"/>
              </w:rPr>
              <w:t>3</w:t>
            </w:r>
          </w:p>
        </w:tc>
      </w:tr>
      <w:tr w:rsidR="00387232" w:rsidRPr="006A44C0" w:rsidTr="006A44C0">
        <w:trPr>
          <w:divId w:val="1937246360"/>
          <w:trHeight w:val="241"/>
        </w:trPr>
        <w:tc>
          <w:tcPr>
            <w:tcW w:w="3570" w:type="dxa"/>
            <w:tcBorders>
              <w:top w:val="nil"/>
              <w:left w:val="nil"/>
              <w:bottom w:val="nil"/>
              <w:right w:val="nil"/>
            </w:tcBorders>
            <w:shd w:val="clear" w:color="auto" w:fill="auto"/>
            <w:noWrap/>
            <w:vAlign w:val="bottom"/>
            <w:hideMark/>
          </w:tcPr>
          <w:p w:rsidR="00387232" w:rsidRPr="006A44C0" w:rsidRDefault="00387232" w:rsidP="006A44C0">
            <w:pPr>
              <w:jc w:val="left"/>
              <w:rPr>
                <w:rFonts w:ascii="Calibri" w:hAnsi="Calibri" w:cs="Arial"/>
                <w:lang w:eastAsia="en-GB"/>
              </w:rPr>
            </w:pPr>
          </w:p>
        </w:tc>
        <w:tc>
          <w:tcPr>
            <w:tcW w:w="672" w:type="dxa"/>
            <w:tcBorders>
              <w:top w:val="nil"/>
              <w:left w:val="nil"/>
              <w:bottom w:val="nil"/>
              <w:right w:val="nil"/>
            </w:tcBorders>
            <w:shd w:val="clear" w:color="auto" w:fill="auto"/>
            <w:noWrap/>
            <w:vAlign w:val="bottom"/>
            <w:hideMark/>
          </w:tcPr>
          <w:p w:rsidR="00387232" w:rsidRPr="006A44C0" w:rsidRDefault="00387232" w:rsidP="006A44C0">
            <w:pPr>
              <w:jc w:val="center"/>
              <w:rPr>
                <w:rFonts w:ascii="Calibri" w:hAnsi="Calibri" w:cs="Arial"/>
                <w:sz w:val="20"/>
                <w:szCs w:val="20"/>
                <w:lang w:eastAsia="en-GB"/>
              </w:rPr>
            </w:pPr>
          </w:p>
        </w:tc>
        <w:tc>
          <w:tcPr>
            <w:tcW w:w="1995" w:type="dxa"/>
            <w:tcBorders>
              <w:top w:val="nil"/>
              <w:left w:val="nil"/>
              <w:bottom w:val="nil"/>
              <w:right w:val="nil"/>
            </w:tcBorders>
            <w:shd w:val="clear" w:color="auto" w:fill="auto"/>
            <w:noWrap/>
            <w:vAlign w:val="bottom"/>
            <w:hideMark/>
          </w:tcPr>
          <w:p w:rsidR="00387232" w:rsidRPr="006A44C0" w:rsidRDefault="00387232" w:rsidP="006A44C0">
            <w:pPr>
              <w:jc w:val="right"/>
              <w:rPr>
                <w:rFonts w:ascii="Calibri" w:hAnsi="Calibri" w:cs="Arial"/>
                <w:lang w:eastAsia="en-GB"/>
              </w:rPr>
            </w:pPr>
          </w:p>
        </w:tc>
        <w:tc>
          <w:tcPr>
            <w:tcW w:w="2552" w:type="dxa"/>
            <w:tcBorders>
              <w:top w:val="nil"/>
              <w:left w:val="nil"/>
              <w:bottom w:val="nil"/>
              <w:right w:val="nil"/>
            </w:tcBorders>
            <w:shd w:val="clear" w:color="auto" w:fill="auto"/>
            <w:noWrap/>
            <w:vAlign w:val="bottom"/>
            <w:hideMark/>
          </w:tcPr>
          <w:p w:rsidR="00387232" w:rsidRPr="006A44C0" w:rsidRDefault="00387232" w:rsidP="006A44C0">
            <w:pPr>
              <w:jc w:val="right"/>
              <w:rPr>
                <w:rFonts w:ascii="Calibri" w:hAnsi="Calibri" w:cs="Arial"/>
                <w:lang w:eastAsia="en-GB"/>
              </w:rPr>
            </w:pPr>
          </w:p>
        </w:tc>
      </w:tr>
    </w:tbl>
    <w:p w:rsidR="006A44C0" w:rsidRDefault="006A44C0">
      <w:pPr>
        <w:jc w:val="left"/>
        <w:rPr>
          <w:rFonts w:ascii="Calibri" w:hAnsi="Calibri"/>
          <w:sz w:val="20"/>
          <w:szCs w:val="20"/>
          <w:lang w:eastAsia="en-GB"/>
        </w:rPr>
      </w:pPr>
    </w:p>
    <w:p w:rsidR="00284A95" w:rsidRDefault="00284A95">
      <w:pPr>
        <w:jc w:val="left"/>
        <w:rPr>
          <w:rFonts w:ascii="Calibri" w:hAnsi="Calibri"/>
          <w:sz w:val="20"/>
          <w:szCs w:val="20"/>
          <w:lang w:eastAsia="en-GB"/>
        </w:rPr>
      </w:pPr>
      <w:r>
        <w:rPr>
          <w:rFonts w:ascii="Calibri" w:hAnsi="Calibri"/>
          <w:sz w:val="20"/>
          <w:szCs w:val="20"/>
          <w:lang w:eastAsia="en-GB"/>
        </w:rPr>
        <w:br w:type="page"/>
      </w:r>
    </w:p>
    <w:p w:rsidR="006A44C0" w:rsidRDefault="006A44C0">
      <w:pPr>
        <w:jc w:val="left"/>
        <w:rPr>
          <w:rFonts w:ascii="Calibri" w:hAnsi="Calibri"/>
          <w:sz w:val="20"/>
          <w:szCs w:val="20"/>
          <w:lang w:eastAsia="en-GB"/>
        </w:rPr>
      </w:pPr>
    </w:p>
    <w:tbl>
      <w:tblPr>
        <w:tblW w:w="10946" w:type="dxa"/>
        <w:tblInd w:w="-318" w:type="dxa"/>
        <w:tblLook w:val="04A0" w:firstRow="1" w:lastRow="0" w:firstColumn="1" w:lastColumn="0" w:noHBand="0" w:noVBand="1"/>
      </w:tblPr>
      <w:tblGrid>
        <w:gridCol w:w="2170"/>
        <w:gridCol w:w="126"/>
        <w:gridCol w:w="257"/>
        <w:gridCol w:w="381"/>
        <w:gridCol w:w="894"/>
        <w:gridCol w:w="438"/>
        <w:gridCol w:w="895"/>
        <w:gridCol w:w="512"/>
        <w:gridCol w:w="383"/>
        <w:gridCol w:w="780"/>
        <w:gridCol w:w="198"/>
        <w:gridCol w:w="901"/>
        <w:gridCol w:w="373"/>
        <w:gridCol w:w="1027"/>
        <w:gridCol w:w="182"/>
        <w:gridCol w:w="1193"/>
        <w:gridCol w:w="236"/>
      </w:tblGrid>
      <w:tr w:rsidR="006A44C0" w:rsidRPr="003B1B2D" w:rsidTr="009334AB">
        <w:trPr>
          <w:divId w:val="411899501"/>
          <w:trHeight w:val="306"/>
        </w:trPr>
        <w:tc>
          <w:tcPr>
            <w:tcW w:w="2296" w:type="dxa"/>
            <w:gridSpan w:val="2"/>
            <w:tcBorders>
              <w:top w:val="nil"/>
              <w:left w:val="nil"/>
              <w:bottom w:val="nil"/>
              <w:right w:val="nil"/>
            </w:tcBorders>
            <w:shd w:val="clear" w:color="auto" w:fill="auto"/>
            <w:noWrap/>
            <w:vAlign w:val="bottom"/>
            <w:hideMark/>
          </w:tcPr>
          <w:p w:rsidR="006A44C0" w:rsidRPr="003B1B2D" w:rsidRDefault="006A44C0" w:rsidP="006A44C0">
            <w:pPr>
              <w:jc w:val="left"/>
              <w:rPr>
                <w:rFonts w:ascii="Calibri" w:hAnsi="Calibri" w:cs="Arial"/>
                <w:b/>
                <w:bCs/>
                <w:lang w:eastAsia="en-GB"/>
              </w:rPr>
            </w:pPr>
          </w:p>
        </w:tc>
        <w:tc>
          <w:tcPr>
            <w:tcW w:w="257" w:type="dxa"/>
            <w:tcBorders>
              <w:top w:val="nil"/>
              <w:left w:val="nil"/>
              <w:bottom w:val="nil"/>
              <w:right w:val="nil"/>
            </w:tcBorders>
            <w:shd w:val="clear" w:color="auto" w:fill="auto"/>
            <w:noWrap/>
            <w:vAlign w:val="bottom"/>
            <w:hideMark/>
          </w:tcPr>
          <w:p w:rsidR="006A44C0" w:rsidRPr="003B1B2D" w:rsidRDefault="006A44C0" w:rsidP="006A44C0">
            <w:pPr>
              <w:jc w:val="left"/>
              <w:rPr>
                <w:rFonts w:ascii="Calibri" w:hAnsi="Calibri" w:cs="Arial"/>
                <w:lang w:eastAsia="en-GB"/>
              </w:rPr>
            </w:pPr>
          </w:p>
        </w:tc>
        <w:tc>
          <w:tcPr>
            <w:tcW w:w="1713" w:type="dxa"/>
            <w:gridSpan w:val="3"/>
            <w:tcBorders>
              <w:top w:val="nil"/>
              <w:left w:val="nil"/>
              <w:bottom w:val="nil"/>
              <w:right w:val="nil"/>
            </w:tcBorders>
            <w:shd w:val="clear" w:color="auto" w:fill="auto"/>
            <w:noWrap/>
            <w:vAlign w:val="bottom"/>
            <w:hideMark/>
          </w:tcPr>
          <w:p w:rsidR="006A44C0" w:rsidRPr="003B1B2D" w:rsidRDefault="006A44C0" w:rsidP="006A44C0">
            <w:pPr>
              <w:jc w:val="left"/>
              <w:rPr>
                <w:rFonts w:ascii="Calibri" w:hAnsi="Calibri" w:cs="Arial"/>
                <w:lang w:eastAsia="en-GB"/>
              </w:rPr>
            </w:pPr>
          </w:p>
        </w:tc>
        <w:tc>
          <w:tcPr>
            <w:tcW w:w="1407" w:type="dxa"/>
            <w:gridSpan w:val="2"/>
            <w:tcBorders>
              <w:top w:val="nil"/>
              <w:left w:val="nil"/>
              <w:bottom w:val="nil"/>
              <w:right w:val="nil"/>
            </w:tcBorders>
            <w:shd w:val="clear" w:color="auto" w:fill="auto"/>
            <w:noWrap/>
            <w:vAlign w:val="bottom"/>
            <w:hideMark/>
          </w:tcPr>
          <w:p w:rsidR="006A44C0" w:rsidRPr="003B1B2D" w:rsidRDefault="006A44C0" w:rsidP="006A44C0">
            <w:pPr>
              <w:jc w:val="left"/>
              <w:rPr>
                <w:rFonts w:ascii="Calibri" w:hAnsi="Calibri" w:cs="Arial"/>
                <w:lang w:eastAsia="en-GB"/>
              </w:rPr>
            </w:pPr>
          </w:p>
        </w:tc>
        <w:tc>
          <w:tcPr>
            <w:tcW w:w="1163" w:type="dxa"/>
            <w:gridSpan w:val="2"/>
            <w:tcBorders>
              <w:top w:val="nil"/>
              <w:left w:val="nil"/>
              <w:bottom w:val="nil"/>
              <w:right w:val="nil"/>
            </w:tcBorders>
            <w:shd w:val="clear" w:color="auto" w:fill="auto"/>
            <w:noWrap/>
            <w:vAlign w:val="bottom"/>
            <w:hideMark/>
          </w:tcPr>
          <w:p w:rsidR="006A44C0" w:rsidRPr="003B1B2D" w:rsidRDefault="006A44C0" w:rsidP="006A44C0">
            <w:pPr>
              <w:jc w:val="left"/>
              <w:rPr>
                <w:rFonts w:ascii="Calibri" w:hAnsi="Calibri" w:cs="Arial"/>
                <w:lang w:eastAsia="en-GB"/>
              </w:rPr>
            </w:pPr>
          </w:p>
        </w:tc>
        <w:tc>
          <w:tcPr>
            <w:tcW w:w="1099" w:type="dxa"/>
            <w:gridSpan w:val="2"/>
            <w:tcBorders>
              <w:top w:val="nil"/>
              <w:left w:val="nil"/>
              <w:bottom w:val="nil"/>
              <w:right w:val="nil"/>
            </w:tcBorders>
            <w:shd w:val="clear" w:color="auto" w:fill="auto"/>
            <w:noWrap/>
            <w:vAlign w:val="bottom"/>
            <w:hideMark/>
          </w:tcPr>
          <w:p w:rsidR="006A44C0" w:rsidRPr="003B1B2D" w:rsidRDefault="006A44C0" w:rsidP="006A44C0">
            <w:pPr>
              <w:jc w:val="left"/>
              <w:rPr>
                <w:rFonts w:ascii="Calibri" w:hAnsi="Calibri" w:cs="Arial"/>
                <w:lang w:eastAsia="en-GB"/>
              </w:rPr>
            </w:pPr>
          </w:p>
        </w:tc>
        <w:tc>
          <w:tcPr>
            <w:tcW w:w="1400" w:type="dxa"/>
            <w:gridSpan w:val="2"/>
            <w:tcBorders>
              <w:top w:val="nil"/>
              <w:left w:val="nil"/>
              <w:bottom w:val="nil"/>
              <w:right w:val="nil"/>
            </w:tcBorders>
            <w:shd w:val="clear" w:color="auto" w:fill="auto"/>
            <w:noWrap/>
            <w:vAlign w:val="bottom"/>
            <w:hideMark/>
          </w:tcPr>
          <w:p w:rsidR="006A44C0" w:rsidRPr="003B1B2D" w:rsidRDefault="006A44C0" w:rsidP="006A44C0">
            <w:pPr>
              <w:jc w:val="left"/>
              <w:rPr>
                <w:rFonts w:ascii="Calibri" w:hAnsi="Calibri" w:cs="Arial"/>
                <w:lang w:eastAsia="en-GB"/>
              </w:rPr>
            </w:pPr>
          </w:p>
        </w:tc>
        <w:tc>
          <w:tcPr>
            <w:tcW w:w="1375" w:type="dxa"/>
            <w:gridSpan w:val="2"/>
            <w:tcBorders>
              <w:top w:val="nil"/>
              <w:left w:val="nil"/>
              <w:bottom w:val="nil"/>
              <w:right w:val="nil"/>
            </w:tcBorders>
            <w:shd w:val="clear" w:color="auto" w:fill="auto"/>
            <w:noWrap/>
            <w:vAlign w:val="bottom"/>
            <w:hideMark/>
          </w:tcPr>
          <w:p w:rsidR="006A44C0" w:rsidRPr="003B1B2D" w:rsidRDefault="006A44C0" w:rsidP="006A44C0">
            <w:pPr>
              <w:jc w:val="left"/>
              <w:rPr>
                <w:rFonts w:ascii="Calibri" w:hAnsi="Calibri" w:cs="Arial"/>
                <w:lang w:eastAsia="en-GB"/>
              </w:rPr>
            </w:pPr>
          </w:p>
        </w:tc>
        <w:tc>
          <w:tcPr>
            <w:tcW w:w="236" w:type="dxa"/>
            <w:tcBorders>
              <w:top w:val="nil"/>
              <w:left w:val="nil"/>
              <w:bottom w:val="nil"/>
              <w:right w:val="nil"/>
            </w:tcBorders>
            <w:shd w:val="clear" w:color="auto" w:fill="auto"/>
            <w:noWrap/>
            <w:vAlign w:val="bottom"/>
            <w:hideMark/>
          </w:tcPr>
          <w:p w:rsidR="006A44C0" w:rsidRPr="003B1B2D" w:rsidRDefault="006A44C0" w:rsidP="006A44C0">
            <w:pPr>
              <w:jc w:val="left"/>
              <w:rPr>
                <w:rFonts w:ascii="Calibri" w:hAnsi="Calibri" w:cs="Arial"/>
                <w:lang w:eastAsia="en-GB"/>
              </w:rPr>
            </w:pPr>
          </w:p>
        </w:tc>
      </w:tr>
      <w:tr w:rsidR="009334AB" w:rsidRPr="003B1B2D" w:rsidTr="009334AB">
        <w:trPr>
          <w:gridAfter w:val="1"/>
          <w:divId w:val="411899501"/>
          <w:wAfter w:w="236" w:type="dxa"/>
          <w:trHeight w:val="594"/>
        </w:trPr>
        <w:tc>
          <w:tcPr>
            <w:tcW w:w="2934" w:type="dxa"/>
            <w:gridSpan w:val="4"/>
            <w:tcBorders>
              <w:top w:val="nil"/>
              <w:left w:val="nil"/>
              <w:bottom w:val="nil"/>
              <w:right w:val="nil"/>
            </w:tcBorders>
            <w:shd w:val="clear" w:color="auto" w:fill="auto"/>
            <w:noWrap/>
            <w:vAlign w:val="bottom"/>
          </w:tcPr>
          <w:p w:rsidR="009334AB" w:rsidRPr="003B1B2D" w:rsidRDefault="009334AB" w:rsidP="003B1B2D">
            <w:pPr>
              <w:jc w:val="left"/>
              <w:rPr>
                <w:rFonts w:ascii="Calibri" w:hAnsi="Calibri" w:cs="Arial"/>
                <w:b/>
                <w:lang w:eastAsia="en-GB"/>
              </w:rPr>
            </w:pPr>
            <w:r>
              <w:rPr>
                <w:rFonts w:ascii="Calibri" w:hAnsi="Calibri" w:cs="Arial"/>
                <w:b/>
                <w:lang w:eastAsia="en-GB"/>
              </w:rPr>
              <w:t>Consolidated Statement of Changes in Equity</w:t>
            </w:r>
          </w:p>
        </w:tc>
        <w:tc>
          <w:tcPr>
            <w:tcW w:w="894" w:type="dxa"/>
            <w:tcBorders>
              <w:top w:val="nil"/>
              <w:left w:val="nil"/>
              <w:bottom w:val="nil"/>
              <w:right w:val="nil"/>
            </w:tcBorders>
            <w:shd w:val="clear" w:color="auto" w:fill="auto"/>
            <w:noWrap/>
          </w:tcPr>
          <w:p w:rsidR="009334AB" w:rsidRPr="009334AB" w:rsidRDefault="009334AB" w:rsidP="009334AB">
            <w:pPr>
              <w:jc w:val="right"/>
              <w:rPr>
                <w:rFonts w:ascii="Calibri" w:hAnsi="Calibri" w:cs="Arial"/>
                <w:b/>
                <w:sz w:val="20"/>
                <w:lang w:eastAsia="en-GB"/>
              </w:rPr>
            </w:pPr>
            <w:r w:rsidRPr="009334AB">
              <w:rPr>
                <w:rFonts w:ascii="Calibri" w:hAnsi="Calibri" w:cs="Arial"/>
                <w:b/>
                <w:sz w:val="20"/>
                <w:lang w:eastAsia="en-GB"/>
              </w:rPr>
              <w:t>Share capital</w:t>
            </w:r>
          </w:p>
        </w:tc>
        <w:tc>
          <w:tcPr>
            <w:tcW w:w="1333" w:type="dxa"/>
            <w:gridSpan w:val="2"/>
            <w:tcBorders>
              <w:top w:val="nil"/>
              <w:left w:val="nil"/>
              <w:bottom w:val="nil"/>
              <w:right w:val="nil"/>
            </w:tcBorders>
            <w:shd w:val="clear" w:color="auto" w:fill="auto"/>
            <w:noWrap/>
          </w:tcPr>
          <w:p w:rsidR="009334AB" w:rsidRPr="009334AB" w:rsidRDefault="009334AB" w:rsidP="009334AB">
            <w:pPr>
              <w:jc w:val="right"/>
              <w:rPr>
                <w:rFonts w:ascii="Calibri" w:hAnsi="Calibri" w:cs="Arial"/>
                <w:b/>
                <w:sz w:val="20"/>
                <w:lang w:eastAsia="en-GB"/>
              </w:rPr>
            </w:pPr>
            <w:r w:rsidRPr="009334AB">
              <w:rPr>
                <w:rFonts w:ascii="Calibri" w:hAnsi="Calibri" w:cs="Arial"/>
                <w:b/>
                <w:sz w:val="20"/>
                <w:lang w:eastAsia="en-GB"/>
              </w:rPr>
              <w:t>Share option reserve</w:t>
            </w:r>
          </w:p>
        </w:tc>
        <w:tc>
          <w:tcPr>
            <w:tcW w:w="895" w:type="dxa"/>
            <w:gridSpan w:val="2"/>
            <w:tcBorders>
              <w:top w:val="nil"/>
              <w:left w:val="nil"/>
              <w:bottom w:val="nil"/>
              <w:right w:val="nil"/>
            </w:tcBorders>
            <w:shd w:val="clear" w:color="auto" w:fill="auto"/>
            <w:noWrap/>
          </w:tcPr>
          <w:p w:rsidR="009334AB" w:rsidRPr="009334AB" w:rsidRDefault="009334AB" w:rsidP="009334AB">
            <w:pPr>
              <w:jc w:val="right"/>
              <w:rPr>
                <w:rFonts w:ascii="Calibri" w:hAnsi="Calibri" w:cs="Arial"/>
                <w:b/>
                <w:sz w:val="20"/>
                <w:lang w:eastAsia="en-GB"/>
              </w:rPr>
            </w:pPr>
            <w:r>
              <w:rPr>
                <w:rFonts w:ascii="Calibri" w:hAnsi="Calibri" w:cs="Arial"/>
                <w:b/>
                <w:sz w:val="20"/>
                <w:lang w:eastAsia="en-GB"/>
              </w:rPr>
              <w:t>Merger r</w:t>
            </w:r>
            <w:r w:rsidRPr="009334AB">
              <w:rPr>
                <w:rFonts w:ascii="Calibri" w:hAnsi="Calibri" w:cs="Arial"/>
                <w:b/>
                <w:sz w:val="20"/>
                <w:lang w:eastAsia="en-GB"/>
              </w:rPr>
              <w:t>eserve</w:t>
            </w:r>
          </w:p>
        </w:tc>
        <w:tc>
          <w:tcPr>
            <w:tcW w:w="978" w:type="dxa"/>
            <w:gridSpan w:val="2"/>
            <w:tcBorders>
              <w:top w:val="nil"/>
              <w:left w:val="nil"/>
              <w:bottom w:val="nil"/>
              <w:right w:val="nil"/>
            </w:tcBorders>
            <w:shd w:val="clear" w:color="auto" w:fill="auto"/>
            <w:noWrap/>
          </w:tcPr>
          <w:p w:rsidR="009334AB" w:rsidRPr="009334AB" w:rsidRDefault="009334AB" w:rsidP="009334AB">
            <w:pPr>
              <w:jc w:val="right"/>
              <w:rPr>
                <w:rFonts w:ascii="Calibri" w:hAnsi="Calibri" w:cs="Arial"/>
                <w:b/>
                <w:sz w:val="20"/>
                <w:lang w:eastAsia="en-GB"/>
              </w:rPr>
            </w:pPr>
            <w:r w:rsidRPr="009334AB">
              <w:rPr>
                <w:rFonts w:ascii="Calibri" w:hAnsi="Calibri" w:cs="Arial"/>
                <w:b/>
                <w:sz w:val="20"/>
                <w:lang w:eastAsia="en-GB"/>
              </w:rPr>
              <w:t xml:space="preserve">Share </w:t>
            </w:r>
            <w:r>
              <w:rPr>
                <w:rFonts w:ascii="Calibri" w:hAnsi="Calibri" w:cs="Arial"/>
                <w:b/>
                <w:sz w:val="20"/>
                <w:lang w:eastAsia="en-GB"/>
              </w:rPr>
              <w:t>p</w:t>
            </w:r>
            <w:r w:rsidRPr="009334AB">
              <w:rPr>
                <w:rFonts w:ascii="Calibri" w:hAnsi="Calibri" w:cs="Arial"/>
                <w:b/>
                <w:sz w:val="20"/>
                <w:lang w:eastAsia="en-GB"/>
              </w:rPr>
              <w:t>remium</w:t>
            </w:r>
          </w:p>
        </w:tc>
        <w:tc>
          <w:tcPr>
            <w:tcW w:w="1274" w:type="dxa"/>
            <w:gridSpan w:val="2"/>
            <w:tcBorders>
              <w:top w:val="nil"/>
              <w:left w:val="nil"/>
              <w:bottom w:val="nil"/>
              <w:right w:val="nil"/>
            </w:tcBorders>
            <w:shd w:val="clear" w:color="auto" w:fill="auto"/>
            <w:noWrap/>
          </w:tcPr>
          <w:p w:rsidR="009334AB" w:rsidRPr="009334AB" w:rsidRDefault="009334AB" w:rsidP="009334AB">
            <w:pPr>
              <w:jc w:val="right"/>
              <w:rPr>
                <w:rFonts w:ascii="Calibri" w:hAnsi="Calibri" w:cs="Arial"/>
                <w:b/>
                <w:sz w:val="20"/>
                <w:lang w:eastAsia="en-GB"/>
              </w:rPr>
            </w:pPr>
            <w:r>
              <w:rPr>
                <w:rFonts w:ascii="Calibri" w:hAnsi="Calibri" w:cs="Arial"/>
                <w:b/>
                <w:sz w:val="20"/>
                <w:lang w:eastAsia="en-GB"/>
              </w:rPr>
              <w:t>Revaluation reserve</w:t>
            </w:r>
          </w:p>
        </w:tc>
        <w:tc>
          <w:tcPr>
            <w:tcW w:w="1209" w:type="dxa"/>
            <w:gridSpan w:val="2"/>
            <w:tcBorders>
              <w:top w:val="nil"/>
              <w:left w:val="nil"/>
              <w:bottom w:val="nil"/>
              <w:right w:val="nil"/>
            </w:tcBorders>
            <w:shd w:val="clear" w:color="auto" w:fill="auto"/>
            <w:noWrap/>
          </w:tcPr>
          <w:p w:rsidR="009334AB" w:rsidRPr="009334AB" w:rsidRDefault="009334AB" w:rsidP="009334AB">
            <w:pPr>
              <w:jc w:val="right"/>
              <w:rPr>
                <w:rFonts w:ascii="Calibri" w:hAnsi="Calibri" w:cs="Arial"/>
                <w:b/>
                <w:sz w:val="20"/>
                <w:lang w:eastAsia="en-GB"/>
              </w:rPr>
            </w:pPr>
            <w:r>
              <w:rPr>
                <w:rFonts w:ascii="Calibri" w:hAnsi="Calibri" w:cs="Arial"/>
                <w:b/>
                <w:sz w:val="20"/>
                <w:lang w:eastAsia="en-GB"/>
              </w:rPr>
              <w:t>Retained earnings</w:t>
            </w:r>
          </w:p>
        </w:tc>
        <w:tc>
          <w:tcPr>
            <w:tcW w:w="1193" w:type="dxa"/>
            <w:tcBorders>
              <w:top w:val="nil"/>
              <w:left w:val="nil"/>
              <w:bottom w:val="nil"/>
              <w:right w:val="nil"/>
            </w:tcBorders>
            <w:shd w:val="clear" w:color="auto" w:fill="auto"/>
            <w:noWrap/>
          </w:tcPr>
          <w:p w:rsidR="009334AB" w:rsidRDefault="009334AB" w:rsidP="009334AB">
            <w:pPr>
              <w:jc w:val="right"/>
              <w:rPr>
                <w:rFonts w:ascii="Calibri" w:hAnsi="Calibri" w:cs="Arial"/>
                <w:b/>
                <w:sz w:val="20"/>
                <w:lang w:eastAsia="en-GB"/>
              </w:rPr>
            </w:pPr>
            <w:r>
              <w:rPr>
                <w:rFonts w:ascii="Calibri" w:hAnsi="Calibri" w:cs="Arial"/>
                <w:b/>
                <w:sz w:val="20"/>
                <w:lang w:eastAsia="en-GB"/>
              </w:rPr>
              <w:t>Total</w:t>
            </w:r>
          </w:p>
          <w:p w:rsidR="009334AB" w:rsidRPr="009334AB" w:rsidRDefault="009334AB" w:rsidP="009334AB">
            <w:pPr>
              <w:jc w:val="right"/>
              <w:rPr>
                <w:rFonts w:ascii="Calibri" w:hAnsi="Calibri" w:cs="Arial"/>
                <w:b/>
                <w:sz w:val="20"/>
                <w:lang w:eastAsia="en-GB"/>
              </w:rPr>
            </w:pPr>
          </w:p>
        </w:tc>
      </w:tr>
      <w:tr w:rsidR="009334AB" w:rsidRPr="003B1B2D" w:rsidTr="009334AB">
        <w:trPr>
          <w:gridAfter w:val="1"/>
          <w:divId w:val="411899501"/>
          <w:wAfter w:w="236" w:type="dxa"/>
          <w:trHeight w:val="306"/>
        </w:trPr>
        <w:tc>
          <w:tcPr>
            <w:tcW w:w="2934" w:type="dxa"/>
            <w:gridSpan w:val="4"/>
            <w:tcBorders>
              <w:top w:val="nil"/>
              <w:left w:val="nil"/>
              <w:bottom w:val="nil"/>
              <w:right w:val="nil"/>
            </w:tcBorders>
            <w:shd w:val="clear" w:color="auto" w:fill="auto"/>
            <w:noWrap/>
            <w:vAlign w:val="bottom"/>
          </w:tcPr>
          <w:p w:rsidR="009334AB" w:rsidRPr="003B1B2D" w:rsidRDefault="009334AB" w:rsidP="003B1B2D">
            <w:pPr>
              <w:jc w:val="left"/>
              <w:rPr>
                <w:rFonts w:ascii="Calibri" w:hAnsi="Calibri" w:cs="Arial"/>
                <w:b/>
                <w:lang w:eastAsia="en-GB"/>
              </w:rPr>
            </w:pPr>
          </w:p>
        </w:tc>
        <w:tc>
          <w:tcPr>
            <w:tcW w:w="894" w:type="dxa"/>
            <w:tcBorders>
              <w:top w:val="nil"/>
              <w:left w:val="nil"/>
              <w:bottom w:val="nil"/>
              <w:right w:val="nil"/>
            </w:tcBorders>
            <w:shd w:val="clear" w:color="auto" w:fill="auto"/>
            <w:noWrap/>
            <w:vAlign w:val="bottom"/>
          </w:tcPr>
          <w:p w:rsidR="009334AB" w:rsidRPr="003B1B2D" w:rsidRDefault="009334AB" w:rsidP="009334AB">
            <w:pPr>
              <w:jc w:val="right"/>
              <w:rPr>
                <w:rFonts w:ascii="Calibri" w:hAnsi="Calibri" w:cs="Arial"/>
                <w:b/>
                <w:bCs/>
                <w:lang w:eastAsia="en-GB"/>
              </w:rPr>
            </w:pPr>
            <w:r w:rsidRPr="003B1B2D">
              <w:rPr>
                <w:rFonts w:ascii="Calibri" w:hAnsi="Calibri" w:cs="Arial"/>
                <w:b/>
                <w:bCs/>
                <w:lang w:eastAsia="en-GB"/>
              </w:rPr>
              <w:t>£'000</w:t>
            </w:r>
          </w:p>
        </w:tc>
        <w:tc>
          <w:tcPr>
            <w:tcW w:w="1333" w:type="dxa"/>
            <w:gridSpan w:val="2"/>
            <w:tcBorders>
              <w:top w:val="nil"/>
              <w:left w:val="nil"/>
              <w:bottom w:val="nil"/>
              <w:right w:val="nil"/>
            </w:tcBorders>
            <w:shd w:val="clear" w:color="auto" w:fill="auto"/>
            <w:noWrap/>
            <w:vAlign w:val="bottom"/>
          </w:tcPr>
          <w:p w:rsidR="009334AB" w:rsidRPr="003B1B2D" w:rsidRDefault="009334AB" w:rsidP="009334AB">
            <w:pPr>
              <w:jc w:val="right"/>
              <w:rPr>
                <w:rFonts w:ascii="Calibri" w:hAnsi="Calibri" w:cs="Arial"/>
                <w:b/>
                <w:bCs/>
                <w:lang w:eastAsia="en-GB"/>
              </w:rPr>
            </w:pPr>
            <w:r w:rsidRPr="003B1B2D">
              <w:rPr>
                <w:rFonts w:ascii="Calibri" w:hAnsi="Calibri" w:cs="Arial"/>
                <w:b/>
                <w:bCs/>
                <w:lang w:eastAsia="en-GB"/>
              </w:rPr>
              <w:t>£'000</w:t>
            </w:r>
          </w:p>
        </w:tc>
        <w:tc>
          <w:tcPr>
            <w:tcW w:w="895" w:type="dxa"/>
            <w:gridSpan w:val="2"/>
            <w:tcBorders>
              <w:top w:val="nil"/>
              <w:left w:val="nil"/>
              <w:bottom w:val="nil"/>
              <w:right w:val="nil"/>
            </w:tcBorders>
            <w:shd w:val="clear" w:color="auto" w:fill="auto"/>
            <w:noWrap/>
            <w:vAlign w:val="bottom"/>
          </w:tcPr>
          <w:p w:rsidR="009334AB" w:rsidRPr="003B1B2D" w:rsidRDefault="009334AB" w:rsidP="009334AB">
            <w:pPr>
              <w:jc w:val="right"/>
              <w:rPr>
                <w:rFonts w:ascii="Calibri" w:hAnsi="Calibri" w:cs="Arial"/>
                <w:b/>
                <w:bCs/>
                <w:lang w:eastAsia="en-GB"/>
              </w:rPr>
            </w:pPr>
            <w:r w:rsidRPr="003B1B2D">
              <w:rPr>
                <w:rFonts w:ascii="Calibri" w:hAnsi="Calibri" w:cs="Arial"/>
                <w:b/>
                <w:bCs/>
                <w:lang w:eastAsia="en-GB"/>
              </w:rPr>
              <w:t>£'000</w:t>
            </w:r>
          </w:p>
        </w:tc>
        <w:tc>
          <w:tcPr>
            <w:tcW w:w="978" w:type="dxa"/>
            <w:gridSpan w:val="2"/>
            <w:tcBorders>
              <w:top w:val="nil"/>
              <w:left w:val="nil"/>
              <w:bottom w:val="nil"/>
              <w:right w:val="nil"/>
            </w:tcBorders>
            <w:shd w:val="clear" w:color="auto" w:fill="auto"/>
            <w:noWrap/>
            <w:vAlign w:val="bottom"/>
          </w:tcPr>
          <w:p w:rsidR="009334AB" w:rsidRPr="003B1B2D" w:rsidRDefault="009334AB" w:rsidP="009334AB">
            <w:pPr>
              <w:jc w:val="right"/>
              <w:rPr>
                <w:rFonts w:ascii="Calibri" w:hAnsi="Calibri" w:cs="Arial"/>
                <w:b/>
                <w:bCs/>
                <w:lang w:eastAsia="en-GB"/>
              </w:rPr>
            </w:pPr>
            <w:r w:rsidRPr="003B1B2D">
              <w:rPr>
                <w:rFonts w:ascii="Calibri" w:hAnsi="Calibri" w:cs="Arial"/>
                <w:b/>
                <w:bCs/>
                <w:lang w:eastAsia="en-GB"/>
              </w:rPr>
              <w:t>£'000</w:t>
            </w:r>
          </w:p>
        </w:tc>
        <w:tc>
          <w:tcPr>
            <w:tcW w:w="1274" w:type="dxa"/>
            <w:gridSpan w:val="2"/>
            <w:tcBorders>
              <w:top w:val="nil"/>
              <w:left w:val="nil"/>
              <w:bottom w:val="nil"/>
              <w:right w:val="nil"/>
            </w:tcBorders>
            <w:shd w:val="clear" w:color="auto" w:fill="auto"/>
            <w:noWrap/>
            <w:vAlign w:val="bottom"/>
          </w:tcPr>
          <w:p w:rsidR="009334AB" w:rsidRPr="003B1B2D" w:rsidRDefault="009334AB" w:rsidP="009334AB">
            <w:pPr>
              <w:jc w:val="right"/>
              <w:rPr>
                <w:rFonts w:ascii="Calibri" w:hAnsi="Calibri" w:cs="Arial"/>
                <w:b/>
                <w:bCs/>
                <w:lang w:eastAsia="en-GB"/>
              </w:rPr>
            </w:pPr>
            <w:r w:rsidRPr="003B1B2D">
              <w:rPr>
                <w:rFonts w:ascii="Calibri" w:hAnsi="Calibri" w:cs="Arial"/>
                <w:b/>
                <w:bCs/>
                <w:lang w:eastAsia="en-GB"/>
              </w:rPr>
              <w:t>£'000</w:t>
            </w:r>
          </w:p>
        </w:tc>
        <w:tc>
          <w:tcPr>
            <w:tcW w:w="1209" w:type="dxa"/>
            <w:gridSpan w:val="2"/>
            <w:tcBorders>
              <w:top w:val="nil"/>
              <w:left w:val="nil"/>
              <w:bottom w:val="nil"/>
              <w:right w:val="nil"/>
            </w:tcBorders>
            <w:shd w:val="clear" w:color="auto" w:fill="auto"/>
            <w:noWrap/>
            <w:vAlign w:val="bottom"/>
          </w:tcPr>
          <w:p w:rsidR="009334AB" w:rsidRPr="003B1B2D" w:rsidRDefault="009334AB" w:rsidP="009334AB">
            <w:pPr>
              <w:jc w:val="right"/>
              <w:rPr>
                <w:rFonts w:ascii="Calibri" w:hAnsi="Calibri" w:cs="Arial"/>
                <w:b/>
                <w:bCs/>
                <w:lang w:eastAsia="en-GB"/>
              </w:rPr>
            </w:pPr>
            <w:r w:rsidRPr="003B1B2D">
              <w:rPr>
                <w:rFonts w:ascii="Calibri" w:hAnsi="Calibri" w:cs="Arial"/>
                <w:b/>
                <w:bCs/>
                <w:lang w:eastAsia="en-GB"/>
              </w:rPr>
              <w:t>£'000</w:t>
            </w:r>
          </w:p>
        </w:tc>
        <w:tc>
          <w:tcPr>
            <w:tcW w:w="1193" w:type="dxa"/>
            <w:tcBorders>
              <w:top w:val="nil"/>
              <w:left w:val="nil"/>
              <w:bottom w:val="nil"/>
              <w:right w:val="nil"/>
            </w:tcBorders>
            <w:shd w:val="clear" w:color="auto" w:fill="auto"/>
            <w:noWrap/>
            <w:vAlign w:val="bottom"/>
          </w:tcPr>
          <w:p w:rsidR="009334AB" w:rsidRPr="003B1B2D" w:rsidRDefault="009334AB" w:rsidP="00FF14CB">
            <w:pPr>
              <w:jc w:val="right"/>
              <w:rPr>
                <w:rFonts w:ascii="Calibri" w:hAnsi="Calibri" w:cs="Arial"/>
                <w:b/>
                <w:bCs/>
                <w:lang w:eastAsia="en-GB"/>
              </w:rPr>
            </w:pPr>
            <w:r w:rsidRPr="003B1B2D">
              <w:rPr>
                <w:rFonts w:ascii="Calibri" w:hAnsi="Calibri" w:cs="Arial"/>
                <w:b/>
                <w:bCs/>
                <w:lang w:eastAsia="en-GB"/>
              </w:rPr>
              <w:t>£'000</w:t>
            </w:r>
          </w:p>
        </w:tc>
      </w:tr>
      <w:tr w:rsidR="009334AB" w:rsidRPr="003B1B2D" w:rsidTr="009334AB">
        <w:trPr>
          <w:gridAfter w:val="1"/>
          <w:divId w:val="411899501"/>
          <w:wAfter w:w="236" w:type="dxa"/>
          <w:trHeight w:val="306"/>
        </w:trPr>
        <w:tc>
          <w:tcPr>
            <w:tcW w:w="2934" w:type="dxa"/>
            <w:gridSpan w:val="4"/>
            <w:tcBorders>
              <w:top w:val="nil"/>
              <w:left w:val="nil"/>
              <w:bottom w:val="nil"/>
              <w:right w:val="nil"/>
            </w:tcBorders>
            <w:shd w:val="clear" w:color="auto" w:fill="auto"/>
            <w:noWrap/>
            <w:vAlign w:val="bottom"/>
          </w:tcPr>
          <w:p w:rsidR="009334AB" w:rsidRPr="003B1B2D" w:rsidRDefault="009334AB" w:rsidP="003B1B2D">
            <w:pPr>
              <w:jc w:val="left"/>
              <w:rPr>
                <w:rFonts w:ascii="Calibri" w:hAnsi="Calibri" w:cs="Arial"/>
                <w:b/>
                <w:lang w:eastAsia="en-GB"/>
              </w:rPr>
            </w:pPr>
          </w:p>
        </w:tc>
        <w:tc>
          <w:tcPr>
            <w:tcW w:w="894" w:type="dxa"/>
            <w:tcBorders>
              <w:top w:val="nil"/>
              <w:left w:val="nil"/>
              <w:bottom w:val="nil"/>
              <w:right w:val="nil"/>
            </w:tcBorders>
            <w:shd w:val="clear" w:color="auto" w:fill="auto"/>
            <w:noWrap/>
            <w:vAlign w:val="bottom"/>
          </w:tcPr>
          <w:p w:rsidR="009334AB" w:rsidRPr="003B1B2D" w:rsidRDefault="009334AB" w:rsidP="00387232">
            <w:pPr>
              <w:jc w:val="right"/>
              <w:rPr>
                <w:rFonts w:ascii="Calibri" w:hAnsi="Calibri" w:cs="Arial"/>
                <w:lang w:eastAsia="en-GB"/>
              </w:rPr>
            </w:pPr>
          </w:p>
        </w:tc>
        <w:tc>
          <w:tcPr>
            <w:tcW w:w="1333" w:type="dxa"/>
            <w:gridSpan w:val="2"/>
            <w:tcBorders>
              <w:top w:val="nil"/>
              <w:left w:val="nil"/>
              <w:bottom w:val="nil"/>
              <w:right w:val="nil"/>
            </w:tcBorders>
            <w:shd w:val="clear" w:color="auto" w:fill="auto"/>
            <w:noWrap/>
            <w:vAlign w:val="bottom"/>
          </w:tcPr>
          <w:p w:rsidR="009334AB" w:rsidRDefault="009334AB" w:rsidP="00387232">
            <w:pPr>
              <w:jc w:val="right"/>
              <w:rPr>
                <w:rFonts w:ascii="Calibri" w:hAnsi="Calibri" w:cs="Arial"/>
                <w:lang w:eastAsia="en-GB"/>
              </w:rPr>
            </w:pPr>
          </w:p>
        </w:tc>
        <w:tc>
          <w:tcPr>
            <w:tcW w:w="895" w:type="dxa"/>
            <w:gridSpan w:val="2"/>
            <w:tcBorders>
              <w:top w:val="nil"/>
              <w:left w:val="nil"/>
              <w:bottom w:val="nil"/>
              <w:right w:val="nil"/>
            </w:tcBorders>
            <w:shd w:val="clear" w:color="auto" w:fill="auto"/>
            <w:noWrap/>
            <w:vAlign w:val="bottom"/>
          </w:tcPr>
          <w:p w:rsidR="009334AB" w:rsidRPr="003B1B2D" w:rsidRDefault="009334AB" w:rsidP="00387232">
            <w:pPr>
              <w:jc w:val="right"/>
              <w:rPr>
                <w:rFonts w:ascii="Calibri" w:hAnsi="Calibri" w:cs="Arial"/>
                <w:lang w:eastAsia="en-GB"/>
              </w:rPr>
            </w:pPr>
          </w:p>
        </w:tc>
        <w:tc>
          <w:tcPr>
            <w:tcW w:w="978" w:type="dxa"/>
            <w:gridSpan w:val="2"/>
            <w:tcBorders>
              <w:top w:val="nil"/>
              <w:left w:val="nil"/>
              <w:bottom w:val="nil"/>
              <w:right w:val="nil"/>
            </w:tcBorders>
            <w:shd w:val="clear" w:color="auto" w:fill="auto"/>
            <w:noWrap/>
            <w:vAlign w:val="bottom"/>
          </w:tcPr>
          <w:p w:rsidR="009334AB" w:rsidRPr="003B1B2D" w:rsidRDefault="009334AB" w:rsidP="00387232">
            <w:pPr>
              <w:jc w:val="right"/>
              <w:rPr>
                <w:rFonts w:ascii="Calibri" w:hAnsi="Calibri" w:cs="Arial"/>
                <w:lang w:eastAsia="en-GB"/>
              </w:rPr>
            </w:pPr>
          </w:p>
        </w:tc>
        <w:tc>
          <w:tcPr>
            <w:tcW w:w="1274" w:type="dxa"/>
            <w:gridSpan w:val="2"/>
            <w:tcBorders>
              <w:top w:val="nil"/>
              <w:left w:val="nil"/>
              <w:bottom w:val="nil"/>
              <w:right w:val="nil"/>
            </w:tcBorders>
            <w:shd w:val="clear" w:color="auto" w:fill="auto"/>
            <w:noWrap/>
            <w:vAlign w:val="bottom"/>
          </w:tcPr>
          <w:p w:rsidR="009334AB" w:rsidRPr="003B1B2D" w:rsidRDefault="009334AB" w:rsidP="00CB34D7">
            <w:pPr>
              <w:jc w:val="right"/>
              <w:rPr>
                <w:rFonts w:ascii="Calibri" w:hAnsi="Calibri" w:cs="Arial"/>
                <w:lang w:eastAsia="en-GB"/>
              </w:rPr>
            </w:pPr>
          </w:p>
        </w:tc>
        <w:tc>
          <w:tcPr>
            <w:tcW w:w="1209" w:type="dxa"/>
            <w:gridSpan w:val="2"/>
            <w:tcBorders>
              <w:top w:val="nil"/>
              <w:left w:val="nil"/>
              <w:bottom w:val="nil"/>
              <w:right w:val="nil"/>
            </w:tcBorders>
            <w:shd w:val="clear" w:color="auto" w:fill="auto"/>
            <w:noWrap/>
            <w:vAlign w:val="bottom"/>
          </w:tcPr>
          <w:p w:rsidR="009334AB" w:rsidRPr="003B1B2D" w:rsidRDefault="009334AB" w:rsidP="00CB34D7">
            <w:pPr>
              <w:jc w:val="right"/>
              <w:rPr>
                <w:rFonts w:ascii="Calibri" w:hAnsi="Calibri" w:cs="Arial"/>
                <w:lang w:eastAsia="en-GB"/>
              </w:rPr>
            </w:pPr>
          </w:p>
        </w:tc>
        <w:tc>
          <w:tcPr>
            <w:tcW w:w="1193" w:type="dxa"/>
            <w:tcBorders>
              <w:top w:val="nil"/>
              <w:left w:val="nil"/>
              <w:bottom w:val="nil"/>
              <w:right w:val="nil"/>
            </w:tcBorders>
            <w:shd w:val="clear" w:color="auto" w:fill="auto"/>
            <w:noWrap/>
            <w:vAlign w:val="bottom"/>
          </w:tcPr>
          <w:p w:rsidR="009334AB" w:rsidRPr="003B1B2D" w:rsidRDefault="009334AB" w:rsidP="00CB34D7">
            <w:pPr>
              <w:jc w:val="right"/>
              <w:rPr>
                <w:rFonts w:ascii="Calibri" w:hAnsi="Calibri" w:cs="Arial"/>
                <w:lang w:eastAsia="en-GB"/>
              </w:rPr>
            </w:pPr>
          </w:p>
        </w:tc>
      </w:tr>
      <w:tr w:rsidR="009334AB" w:rsidRPr="003B1B2D" w:rsidTr="009334AB">
        <w:trPr>
          <w:gridAfter w:val="1"/>
          <w:divId w:val="411899501"/>
          <w:wAfter w:w="236" w:type="dxa"/>
          <w:trHeight w:val="306"/>
        </w:trPr>
        <w:tc>
          <w:tcPr>
            <w:tcW w:w="2934" w:type="dxa"/>
            <w:gridSpan w:val="4"/>
            <w:tcBorders>
              <w:top w:val="nil"/>
              <w:left w:val="nil"/>
              <w:bottom w:val="nil"/>
              <w:right w:val="nil"/>
            </w:tcBorders>
            <w:shd w:val="clear" w:color="auto" w:fill="auto"/>
            <w:noWrap/>
            <w:vAlign w:val="bottom"/>
          </w:tcPr>
          <w:p w:rsidR="009334AB" w:rsidRPr="003B1B2D" w:rsidRDefault="009334AB" w:rsidP="003B1B2D">
            <w:pPr>
              <w:jc w:val="left"/>
              <w:rPr>
                <w:rFonts w:ascii="Calibri" w:hAnsi="Calibri" w:cs="Arial"/>
                <w:b/>
                <w:lang w:eastAsia="en-GB"/>
              </w:rPr>
            </w:pPr>
            <w:r w:rsidRPr="003B1B2D">
              <w:rPr>
                <w:rFonts w:ascii="Calibri" w:hAnsi="Calibri" w:cs="Arial"/>
                <w:b/>
                <w:lang w:eastAsia="en-GB"/>
              </w:rPr>
              <w:t>As at January 2013</w:t>
            </w:r>
          </w:p>
        </w:tc>
        <w:tc>
          <w:tcPr>
            <w:tcW w:w="894" w:type="dxa"/>
            <w:tcBorders>
              <w:top w:val="nil"/>
              <w:left w:val="nil"/>
              <w:bottom w:val="nil"/>
              <w:right w:val="nil"/>
            </w:tcBorders>
            <w:shd w:val="clear" w:color="auto" w:fill="auto"/>
            <w:noWrap/>
            <w:vAlign w:val="bottom"/>
          </w:tcPr>
          <w:p w:rsidR="009334AB" w:rsidRPr="003B1B2D" w:rsidRDefault="009334AB" w:rsidP="00387232">
            <w:pPr>
              <w:jc w:val="right"/>
              <w:rPr>
                <w:rFonts w:ascii="Calibri" w:hAnsi="Calibri" w:cs="Arial"/>
                <w:lang w:eastAsia="en-GB"/>
              </w:rPr>
            </w:pPr>
            <w:r w:rsidRPr="003B1B2D">
              <w:rPr>
                <w:rFonts w:ascii="Calibri" w:hAnsi="Calibri" w:cs="Arial"/>
                <w:lang w:eastAsia="en-GB"/>
              </w:rPr>
              <w:t>11,645</w:t>
            </w:r>
          </w:p>
        </w:tc>
        <w:tc>
          <w:tcPr>
            <w:tcW w:w="1333" w:type="dxa"/>
            <w:gridSpan w:val="2"/>
            <w:tcBorders>
              <w:top w:val="nil"/>
              <w:left w:val="nil"/>
              <w:bottom w:val="nil"/>
              <w:right w:val="nil"/>
            </w:tcBorders>
            <w:shd w:val="clear" w:color="auto" w:fill="auto"/>
            <w:noWrap/>
            <w:vAlign w:val="bottom"/>
          </w:tcPr>
          <w:p w:rsidR="009334AB" w:rsidRPr="003B1B2D" w:rsidRDefault="009334AB" w:rsidP="00387232">
            <w:pPr>
              <w:jc w:val="right"/>
              <w:rPr>
                <w:rFonts w:ascii="Calibri" w:hAnsi="Calibri" w:cs="Arial"/>
                <w:lang w:eastAsia="en-GB"/>
              </w:rPr>
            </w:pPr>
            <w:r>
              <w:rPr>
                <w:rFonts w:ascii="Calibri" w:hAnsi="Calibri" w:cs="Arial"/>
                <w:lang w:eastAsia="en-GB"/>
              </w:rPr>
              <w:t>216</w:t>
            </w:r>
          </w:p>
        </w:tc>
        <w:tc>
          <w:tcPr>
            <w:tcW w:w="895" w:type="dxa"/>
            <w:gridSpan w:val="2"/>
            <w:tcBorders>
              <w:top w:val="nil"/>
              <w:left w:val="nil"/>
              <w:bottom w:val="nil"/>
              <w:right w:val="nil"/>
            </w:tcBorders>
            <w:shd w:val="clear" w:color="auto" w:fill="auto"/>
            <w:noWrap/>
            <w:vAlign w:val="bottom"/>
          </w:tcPr>
          <w:p w:rsidR="009334AB" w:rsidRPr="003B1B2D" w:rsidRDefault="009334AB" w:rsidP="00387232">
            <w:pPr>
              <w:jc w:val="right"/>
              <w:rPr>
                <w:rFonts w:ascii="Calibri" w:hAnsi="Calibri" w:cs="Arial"/>
                <w:lang w:eastAsia="en-GB"/>
              </w:rPr>
            </w:pPr>
            <w:r w:rsidRPr="003B1B2D">
              <w:rPr>
                <w:rFonts w:ascii="Calibri" w:hAnsi="Calibri" w:cs="Arial"/>
                <w:lang w:eastAsia="en-GB"/>
              </w:rPr>
              <w:t>979</w:t>
            </w:r>
          </w:p>
        </w:tc>
        <w:tc>
          <w:tcPr>
            <w:tcW w:w="978" w:type="dxa"/>
            <w:gridSpan w:val="2"/>
            <w:tcBorders>
              <w:top w:val="nil"/>
              <w:left w:val="nil"/>
              <w:bottom w:val="nil"/>
              <w:right w:val="nil"/>
            </w:tcBorders>
            <w:shd w:val="clear" w:color="auto" w:fill="auto"/>
            <w:noWrap/>
            <w:vAlign w:val="bottom"/>
          </w:tcPr>
          <w:p w:rsidR="009334AB" w:rsidRPr="003B1B2D" w:rsidRDefault="009334AB" w:rsidP="00387232">
            <w:pPr>
              <w:jc w:val="right"/>
              <w:rPr>
                <w:rFonts w:ascii="Calibri" w:hAnsi="Calibri" w:cs="Arial"/>
                <w:lang w:eastAsia="en-GB"/>
              </w:rPr>
            </w:pPr>
            <w:r w:rsidRPr="003B1B2D">
              <w:rPr>
                <w:rFonts w:ascii="Calibri" w:hAnsi="Calibri" w:cs="Arial"/>
                <w:lang w:eastAsia="en-GB"/>
              </w:rPr>
              <w:t>6,440</w:t>
            </w:r>
          </w:p>
        </w:tc>
        <w:tc>
          <w:tcPr>
            <w:tcW w:w="1274" w:type="dxa"/>
            <w:gridSpan w:val="2"/>
            <w:tcBorders>
              <w:top w:val="nil"/>
              <w:left w:val="nil"/>
              <w:bottom w:val="nil"/>
              <w:right w:val="nil"/>
            </w:tcBorders>
            <w:shd w:val="clear" w:color="auto" w:fill="auto"/>
            <w:noWrap/>
            <w:vAlign w:val="bottom"/>
          </w:tcPr>
          <w:p w:rsidR="009334AB" w:rsidRPr="003B1B2D" w:rsidRDefault="009334AB" w:rsidP="00CB34D7">
            <w:pPr>
              <w:jc w:val="right"/>
              <w:rPr>
                <w:rFonts w:ascii="Calibri" w:hAnsi="Calibri" w:cs="Arial"/>
                <w:lang w:eastAsia="en-GB"/>
              </w:rPr>
            </w:pPr>
            <w:r w:rsidRPr="003B1B2D">
              <w:rPr>
                <w:rFonts w:ascii="Calibri" w:hAnsi="Calibri" w:cs="Arial"/>
                <w:lang w:eastAsia="en-GB"/>
              </w:rPr>
              <w:t>17,</w:t>
            </w:r>
            <w:r>
              <w:rPr>
                <w:rFonts w:ascii="Calibri" w:hAnsi="Calibri" w:cs="Arial"/>
                <w:lang w:eastAsia="en-GB"/>
              </w:rPr>
              <w:t>90</w:t>
            </w:r>
            <w:r w:rsidRPr="003B1B2D">
              <w:rPr>
                <w:rFonts w:ascii="Calibri" w:hAnsi="Calibri" w:cs="Arial"/>
                <w:lang w:eastAsia="en-GB"/>
              </w:rPr>
              <w:t>8</w:t>
            </w:r>
          </w:p>
        </w:tc>
        <w:tc>
          <w:tcPr>
            <w:tcW w:w="1209" w:type="dxa"/>
            <w:gridSpan w:val="2"/>
            <w:tcBorders>
              <w:top w:val="nil"/>
              <w:left w:val="nil"/>
              <w:bottom w:val="nil"/>
              <w:right w:val="nil"/>
            </w:tcBorders>
            <w:shd w:val="clear" w:color="auto" w:fill="auto"/>
            <w:noWrap/>
            <w:vAlign w:val="bottom"/>
          </w:tcPr>
          <w:p w:rsidR="009334AB" w:rsidRPr="003B1B2D" w:rsidRDefault="009334AB" w:rsidP="00CB34D7">
            <w:pPr>
              <w:jc w:val="right"/>
              <w:rPr>
                <w:rFonts w:ascii="Calibri" w:hAnsi="Calibri" w:cs="Arial"/>
                <w:lang w:eastAsia="en-GB"/>
              </w:rPr>
            </w:pPr>
            <w:r w:rsidRPr="003B1B2D">
              <w:rPr>
                <w:rFonts w:ascii="Calibri" w:hAnsi="Calibri" w:cs="Arial"/>
                <w:lang w:eastAsia="en-GB"/>
              </w:rPr>
              <w:t>(1,</w:t>
            </w:r>
            <w:r>
              <w:rPr>
                <w:rFonts w:ascii="Calibri" w:hAnsi="Calibri" w:cs="Arial"/>
                <w:lang w:eastAsia="en-GB"/>
              </w:rPr>
              <w:t>654</w:t>
            </w:r>
            <w:r w:rsidRPr="003B1B2D">
              <w:rPr>
                <w:rFonts w:ascii="Calibri" w:hAnsi="Calibri" w:cs="Arial"/>
                <w:lang w:eastAsia="en-GB"/>
              </w:rPr>
              <w:t>)</w:t>
            </w:r>
          </w:p>
        </w:tc>
        <w:tc>
          <w:tcPr>
            <w:tcW w:w="1193" w:type="dxa"/>
            <w:tcBorders>
              <w:top w:val="nil"/>
              <w:left w:val="nil"/>
              <w:bottom w:val="nil"/>
              <w:right w:val="nil"/>
            </w:tcBorders>
            <w:shd w:val="clear" w:color="auto" w:fill="auto"/>
            <w:noWrap/>
            <w:vAlign w:val="bottom"/>
          </w:tcPr>
          <w:p w:rsidR="009334AB" w:rsidRPr="003B1B2D" w:rsidRDefault="009334AB" w:rsidP="00CB34D7">
            <w:pPr>
              <w:jc w:val="right"/>
              <w:rPr>
                <w:rFonts w:ascii="Calibri" w:hAnsi="Calibri" w:cs="Arial"/>
                <w:lang w:eastAsia="en-GB"/>
              </w:rPr>
            </w:pPr>
            <w:r w:rsidRPr="003B1B2D">
              <w:rPr>
                <w:rFonts w:ascii="Calibri" w:hAnsi="Calibri" w:cs="Arial"/>
                <w:lang w:eastAsia="en-GB"/>
              </w:rPr>
              <w:t>3</w:t>
            </w:r>
            <w:r>
              <w:rPr>
                <w:rFonts w:ascii="Calibri" w:hAnsi="Calibri" w:cs="Arial"/>
                <w:lang w:eastAsia="en-GB"/>
              </w:rPr>
              <w:t>5</w:t>
            </w:r>
            <w:r w:rsidRPr="003B1B2D">
              <w:rPr>
                <w:rFonts w:ascii="Calibri" w:hAnsi="Calibri" w:cs="Arial"/>
                <w:lang w:eastAsia="en-GB"/>
              </w:rPr>
              <w:t>,</w:t>
            </w:r>
            <w:r>
              <w:rPr>
                <w:rFonts w:ascii="Calibri" w:hAnsi="Calibri" w:cs="Arial"/>
                <w:lang w:eastAsia="en-GB"/>
              </w:rPr>
              <w:t>534</w:t>
            </w:r>
          </w:p>
        </w:tc>
      </w:tr>
      <w:tr w:rsidR="009334AB" w:rsidRPr="003B1B2D" w:rsidTr="009334AB">
        <w:trPr>
          <w:gridAfter w:val="1"/>
          <w:divId w:val="411899501"/>
          <w:wAfter w:w="236" w:type="dxa"/>
          <w:trHeight w:val="306"/>
        </w:trPr>
        <w:tc>
          <w:tcPr>
            <w:tcW w:w="2934" w:type="dxa"/>
            <w:gridSpan w:val="4"/>
            <w:tcBorders>
              <w:top w:val="nil"/>
              <w:left w:val="nil"/>
              <w:bottom w:val="nil"/>
              <w:right w:val="nil"/>
            </w:tcBorders>
            <w:shd w:val="clear" w:color="auto" w:fill="auto"/>
            <w:noWrap/>
            <w:vAlign w:val="bottom"/>
            <w:hideMark/>
          </w:tcPr>
          <w:p w:rsidR="009334AB" w:rsidRPr="003B1B2D" w:rsidRDefault="009334AB" w:rsidP="006A44C0">
            <w:pPr>
              <w:jc w:val="left"/>
              <w:rPr>
                <w:rFonts w:ascii="Calibri" w:hAnsi="Calibri" w:cs="Arial"/>
                <w:lang w:eastAsia="en-GB"/>
              </w:rPr>
            </w:pPr>
            <w:r>
              <w:rPr>
                <w:rFonts w:ascii="Calibri" w:hAnsi="Calibri" w:cs="Arial"/>
                <w:lang w:eastAsia="en-GB"/>
              </w:rPr>
              <w:t>Loss</w:t>
            </w:r>
            <w:r w:rsidRPr="003B1B2D">
              <w:rPr>
                <w:rFonts w:ascii="Calibri" w:hAnsi="Calibri" w:cs="Arial"/>
                <w:lang w:eastAsia="en-GB"/>
              </w:rPr>
              <w:t xml:space="preserve"> for the year</w:t>
            </w:r>
          </w:p>
        </w:tc>
        <w:tc>
          <w:tcPr>
            <w:tcW w:w="894" w:type="dxa"/>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1333"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895"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978"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1274"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1209"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Pr>
                <w:rFonts w:ascii="Calibri" w:hAnsi="Calibri" w:cs="Arial"/>
                <w:lang w:eastAsia="en-GB"/>
              </w:rPr>
              <w:t>(1,548)</w:t>
            </w:r>
            <w:r w:rsidRPr="003B1B2D">
              <w:rPr>
                <w:rFonts w:ascii="Calibri" w:hAnsi="Calibri" w:cs="Arial"/>
                <w:lang w:eastAsia="en-GB"/>
              </w:rPr>
              <w:t xml:space="preserve"> </w:t>
            </w:r>
          </w:p>
        </w:tc>
        <w:tc>
          <w:tcPr>
            <w:tcW w:w="1193" w:type="dxa"/>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Pr>
                <w:rFonts w:ascii="Calibri" w:hAnsi="Calibri" w:cs="Arial"/>
                <w:lang w:eastAsia="en-GB"/>
              </w:rPr>
              <w:t>(1,548)</w:t>
            </w:r>
            <w:r w:rsidRPr="003B1B2D">
              <w:rPr>
                <w:rFonts w:ascii="Calibri" w:hAnsi="Calibri" w:cs="Arial"/>
                <w:lang w:eastAsia="en-GB"/>
              </w:rPr>
              <w:t xml:space="preserve"> </w:t>
            </w:r>
          </w:p>
        </w:tc>
      </w:tr>
      <w:tr w:rsidR="009334AB" w:rsidRPr="003B1B2D" w:rsidTr="009334AB">
        <w:trPr>
          <w:gridAfter w:val="1"/>
          <w:divId w:val="411899501"/>
          <w:wAfter w:w="236" w:type="dxa"/>
          <w:trHeight w:val="306"/>
        </w:trPr>
        <w:tc>
          <w:tcPr>
            <w:tcW w:w="2934" w:type="dxa"/>
            <w:gridSpan w:val="4"/>
            <w:tcBorders>
              <w:top w:val="nil"/>
              <w:left w:val="nil"/>
              <w:bottom w:val="nil"/>
              <w:right w:val="nil"/>
            </w:tcBorders>
            <w:shd w:val="clear" w:color="auto" w:fill="auto"/>
            <w:noWrap/>
            <w:vAlign w:val="bottom"/>
          </w:tcPr>
          <w:p w:rsidR="009334AB" w:rsidRPr="003B1B2D" w:rsidRDefault="009334AB" w:rsidP="006A44C0">
            <w:pPr>
              <w:jc w:val="left"/>
              <w:rPr>
                <w:rFonts w:ascii="Calibri" w:hAnsi="Calibri" w:cs="Arial"/>
                <w:lang w:eastAsia="en-GB"/>
              </w:rPr>
            </w:pPr>
            <w:r w:rsidRPr="003B1B2D">
              <w:rPr>
                <w:rFonts w:ascii="Calibri" w:hAnsi="Calibri" w:cs="Arial"/>
                <w:lang w:eastAsia="en-GB"/>
              </w:rPr>
              <w:t>Revaluation surplus</w:t>
            </w:r>
          </w:p>
        </w:tc>
        <w:tc>
          <w:tcPr>
            <w:tcW w:w="894" w:type="dxa"/>
            <w:tcBorders>
              <w:top w:val="nil"/>
              <w:left w:val="nil"/>
              <w:bottom w:val="nil"/>
              <w:right w:val="nil"/>
            </w:tcBorders>
            <w:shd w:val="clear" w:color="auto" w:fill="auto"/>
            <w:noWrap/>
            <w:vAlign w:val="bottom"/>
          </w:tcPr>
          <w:p w:rsidR="009334AB" w:rsidRPr="003B1B2D" w:rsidRDefault="009334AB" w:rsidP="007758A3">
            <w:pPr>
              <w:jc w:val="right"/>
              <w:rPr>
                <w:rFonts w:ascii="Calibri" w:hAnsi="Calibri" w:cs="Arial"/>
                <w:lang w:eastAsia="en-GB"/>
              </w:rPr>
            </w:pPr>
            <w:r w:rsidRPr="003B1B2D">
              <w:rPr>
                <w:rFonts w:ascii="Calibri" w:hAnsi="Calibri" w:cs="Arial"/>
                <w:lang w:eastAsia="en-GB"/>
              </w:rPr>
              <w:t>-</w:t>
            </w:r>
          </w:p>
        </w:tc>
        <w:tc>
          <w:tcPr>
            <w:tcW w:w="1333" w:type="dxa"/>
            <w:gridSpan w:val="2"/>
            <w:tcBorders>
              <w:top w:val="nil"/>
              <w:left w:val="nil"/>
              <w:bottom w:val="nil"/>
              <w:right w:val="nil"/>
            </w:tcBorders>
            <w:shd w:val="clear" w:color="auto" w:fill="auto"/>
            <w:noWrap/>
            <w:vAlign w:val="bottom"/>
          </w:tcPr>
          <w:p w:rsidR="009334AB" w:rsidRPr="003B1B2D" w:rsidRDefault="009334AB" w:rsidP="007758A3">
            <w:pPr>
              <w:jc w:val="right"/>
              <w:rPr>
                <w:rFonts w:ascii="Calibri" w:hAnsi="Calibri" w:cs="Arial"/>
                <w:lang w:eastAsia="en-GB"/>
              </w:rPr>
            </w:pPr>
            <w:r w:rsidRPr="003B1B2D">
              <w:rPr>
                <w:rFonts w:ascii="Calibri" w:hAnsi="Calibri" w:cs="Arial"/>
                <w:lang w:eastAsia="en-GB"/>
              </w:rPr>
              <w:t>-</w:t>
            </w:r>
          </w:p>
        </w:tc>
        <w:tc>
          <w:tcPr>
            <w:tcW w:w="895" w:type="dxa"/>
            <w:gridSpan w:val="2"/>
            <w:tcBorders>
              <w:top w:val="nil"/>
              <w:left w:val="nil"/>
              <w:bottom w:val="nil"/>
              <w:right w:val="nil"/>
            </w:tcBorders>
            <w:shd w:val="clear" w:color="auto" w:fill="auto"/>
            <w:noWrap/>
            <w:vAlign w:val="bottom"/>
          </w:tcPr>
          <w:p w:rsidR="009334AB" w:rsidRPr="003B1B2D" w:rsidRDefault="009334AB" w:rsidP="007758A3">
            <w:pPr>
              <w:jc w:val="right"/>
              <w:rPr>
                <w:rFonts w:ascii="Calibri" w:hAnsi="Calibri" w:cs="Arial"/>
                <w:lang w:eastAsia="en-GB"/>
              </w:rPr>
            </w:pPr>
            <w:r w:rsidRPr="003B1B2D">
              <w:rPr>
                <w:rFonts w:ascii="Calibri" w:hAnsi="Calibri" w:cs="Arial"/>
                <w:lang w:eastAsia="en-GB"/>
              </w:rPr>
              <w:t>-</w:t>
            </w:r>
          </w:p>
        </w:tc>
        <w:tc>
          <w:tcPr>
            <w:tcW w:w="978" w:type="dxa"/>
            <w:gridSpan w:val="2"/>
            <w:tcBorders>
              <w:top w:val="nil"/>
              <w:left w:val="nil"/>
              <w:bottom w:val="nil"/>
              <w:right w:val="nil"/>
            </w:tcBorders>
            <w:shd w:val="clear" w:color="auto" w:fill="auto"/>
            <w:noWrap/>
            <w:vAlign w:val="bottom"/>
          </w:tcPr>
          <w:p w:rsidR="009334AB" w:rsidRPr="003B1B2D" w:rsidRDefault="009334AB" w:rsidP="007758A3">
            <w:pPr>
              <w:jc w:val="right"/>
              <w:rPr>
                <w:rFonts w:ascii="Calibri" w:hAnsi="Calibri" w:cs="Arial"/>
                <w:lang w:eastAsia="en-GB"/>
              </w:rPr>
            </w:pPr>
            <w:r w:rsidRPr="003B1B2D">
              <w:rPr>
                <w:rFonts w:ascii="Calibri" w:hAnsi="Calibri" w:cs="Arial"/>
                <w:lang w:eastAsia="en-GB"/>
              </w:rPr>
              <w:t>-</w:t>
            </w:r>
          </w:p>
        </w:tc>
        <w:tc>
          <w:tcPr>
            <w:tcW w:w="1274" w:type="dxa"/>
            <w:gridSpan w:val="2"/>
            <w:tcBorders>
              <w:top w:val="nil"/>
              <w:left w:val="nil"/>
              <w:bottom w:val="nil"/>
              <w:right w:val="nil"/>
            </w:tcBorders>
            <w:shd w:val="clear" w:color="auto" w:fill="auto"/>
            <w:noWrap/>
            <w:vAlign w:val="bottom"/>
          </w:tcPr>
          <w:p w:rsidR="009334AB" w:rsidRPr="003B1B2D" w:rsidRDefault="009334AB" w:rsidP="007758A3">
            <w:pPr>
              <w:jc w:val="right"/>
              <w:rPr>
                <w:rFonts w:ascii="Calibri" w:hAnsi="Calibri" w:cs="Arial"/>
                <w:lang w:eastAsia="en-GB"/>
              </w:rPr>
            </w:pPr>
            <w:r>
              <w:rPr>
                <w:rFonts w:ascii="Calibri" w:hAnsi="Calibri" w:cs="Arial"/>
                <w:lang w:eastAsia="en-GB"/>
              </w:rPr>
              <w:t>3,500</w:t>
            </w:r>
          </w:p>
        </w:tc>
        <w:tc>
          <w:tcPr>
            <w:tcW w:w="1209" w:type="dxa"/>
            <w:gridSpan w:val="2"/>
            <w:tcBorders>
              <w:top w:val="nil"/>
              <w:left w:val="nil"/>
              <w:bottom w:val="nil"/>
              <w:right w:val="nil"/>
            </w:tcBorders>
            <w:shd w:val="clear" w:color="auto" w:fill="auto"/>
            <w:noWrap/>
            <w:vAlign w:val="bottom"/>
          </w:tcPr>
          <w:p w:rsidR="009334AB" w:rsidRPr="003B1B2D" w:rsidRDefault="009334AB" w:rsidP="007758A3">
            <w:pPr>
              <w:jc w:val="right"/>
              <w:rPr>
                <w:rFonts w:ascii="Calibri" w:hAnsi="Calibri" w:cs="Arial"/>
                <w:lang w:eastAsia="en-GB"/>
              </w:rPr>
            </w:pPr>
            <w:r w:rsidRPr="003B1B2D">
              <w:rPr>
                <w:rFonts w:ascii="Calibri" w:hAnsi="Calibri" w:cs="Arial"/>
                <w:lang w:eastAsia="en-GB"/>
              </w:rPr>
              <w:t>-</w:t>
            </w:r>
          </w:p>
        </w:tc>
        <w:tc>
          <w:tcPr>
            <w:tcW w:w="1193" w:type="dxa"/>
            <w:tcBorders>
              <w:top w:val="nil"/>
              <w:left w:val="nil"/>
              <w:bottom w:val="nil"/>
              <w:right w:val="nil"/>
            </w:tcBorders>
            <w:shd w:val="clear" w:color="auto" w:fill="auto"/>
            <w:noWrap/>
            <w:vAlign w:val="bottom"/>
          </w:tcPr>
          <w:p w:rsidR="009334AB" w:rsidRPr="003B1B2D" w:rsidRDefault="009334AB" w:rsidP="007758A3">
            <w:pPr>
              <w:jc w:val="right"/>
              <w:rPr>
                <w:rFonts w:ascii="Calibri" w:hAnsi="Calibri" w:cs="Arial"/>
                <w:lang w:eastAsia="en-GB"/>
              </w:rPr>
            </w:pPr>
            <w:r>
              <w:rPr>
                <w:rFonts w:ascii="Calibri" w:hAnsi="Calibri" w:cs="Arial"/>
                <w:lang w:eastAsia="en-GB"/>
              </w:rPr>
              <w:t>3,5</w:t>
            </w:r>
            <w:r w:rsidRPr="003B1B2D">
              <w:rPr>
                <w:rFonts w:ascii="Calibri" w:hAnsi="Calibri" w:cs="Arial"/>
                <w:lang w:eastAsia="en-GB"/>
              </w:rPr>
              <w:t>00</w:t>
            </w:r>
          </w:p>
        </w:tc>
      </w:tr>
      <w:tr w:rsidR="009334AB" w:rsidRPr="003B1B2D" w:rsidTr="009334AB">
        <w:trPr>
          <w:gridAfter w:val="1"/>
          <w:divId w:val="411899501"/>
          <w:wAfter w:w="236" w:type="dxa"/>
          <w:trHeight w:val="306"/>
        </w:trPr>
        <w:tc>
          <w:tcPr>
            <w:tcW w:w="2934" w:type="dxa"/>
            <w:gridSpan w:val="4"/>
            <w:tcBorders>
              <w:top w:val="nil"/>
              <w:left w:val="nil"/>
              <w:bottom w:val="nil"/>
              <w:right w:val="nil"/>
            </w:tcBorders>
            <w:shd w:val="clear" w:color="auto" w:fill="auto"/>
            <w:noWrap/>
            <w:vAlign w:val="bottom"/>
          </w:tcPr>
          <w:p w:rsidR="009334AB" w:rsidRPr="003B1B2D" w:rsidRDefault="009334AB" w:rsidP="006A44C0">
            <w:pPr>
              <w:jc w:val="left"/>
              <w:rPr>
                <w:rFonts w:ascii="Calibri" w:hAnsi="Calibri" w:cs="Arial"/>
                <w:lang w:eastAsia="en-GB"/>
              </w:rPr>
            </w:pPr>
            <w:r w:rsidRPr="003B1B2D">
              <w:rPr>
                <w:rFonts w:ascii="Calibri" w:hAnsi="Calibri" w:cs="Arial"/>
                <w:lang w:eastAsia="en-GB"/>
              </w:rPr>
              <w:t>Revaluation deficit</w:t>
            </w:r>
          </w:p>
        </w:tc>
        <w:tc>
          <w:tcPr>
            <w:tcW w:w="894" w:type="dxa"/>
            <w:tcBorders>
              <w:top w:val="nil"/>
              <w:left w:val="nil"/>
              <w:bottom w:val="nil"/>
              <w:right w:val="nil"/>
            </w:tcBorders>
            <w:shd w:val="clear" w:color="auto" w:fill="auto"/>
            <w:noWrap/>
            <w:vAlign w:val="bottom"/>
          </w:tcPr>
          <w:p w:rsidR="009334AB" w:rsidRPr="003B1B2D" w:rsidRDefault="009334AB" w:rsidP="007758A3">
            <w:pPr>
              <w:jc w:val="right"/>
              <w:rPr>
                <w:rFonts w:ascii="Calibri" w:hAnsi="Calibri" w:cs="Arial"/>
                <w:lang w:eastAsia="en-GB"/>
              </w:rPr>
            </w:pPr>
            <w:r w:rsidRPr="003B1B2D">
              <w:rPr>
                <w:rFonts w:ascii="Calibri" w:hAnsi="Calibri" w:cs="Arial"/>
                <w:lang w:eastAsia="en-GB"/>
              </w:rPr>
              <w:t>-</w:t>
            </w:r>
          </w:p>
        </w:tc>
        <w:tc>
          <w:tcPr>
            <w:tcW w:w="1333" w:type="dxa"/>
            <w:gridSpan w:val="2"/>
            <w:tcBorders>
              <w:top w:val="nil"/>
              <w:left w:val="nil"/>
              <w:bottom w:val="nil"/>
              <w:right w:val="nil"/>
            </w:tcBorders>
            <w:shd w:val="clear" w:color="auto" w:fill="auto"/>
            <w:noWrap/>
            <w:vAlign w:val="bottom"/>
          </w:tcPr>
          <w:p w:rsidR="009334AB" w:rsidRPr="003B1B2D" w:rsidRDefault="009334AB" w:rsidP="007758A3">
            <w:pPr>
              <w:jc w:val="right"/>
              <w:rPr>
                <w:rFonts w:ascii="Calibri" w:hAnsi="Calibri" w:cs="Arial"/>
                <w:lang w:eastAsia="en-GB"/>
              </w:rPr>
            </w:pPr>
            <w:r w:rsidRPr="003B1B2D">
              <w:rPr>
                <w:rFonts w:ascii="Calibri" w:hAnsi="Calibri" w:cs="Arial"/>
                <w:lang w:eastAsia="en-GB"/>
              </w:rPr>
              <w:t>-</w:t>
            </w:r>
          </w:p>
        </w:tc>
        <w:tc>
          <w:tcPr>
            <w:tcW w:w="895" w:type="dxa"/>
            <w:gridSpan w:val="2"/>
            <w:tcBorders>
              <w:top w:val="nil"/>
              <w:left w:val="nil"/>
              <w:bottom w:val="nil"/>
              <w:right w:val="nil"/>
            </w:tcBorders>
            <w:shd w:val="clear" w:color="auto" w:fill="auto"/>
            <w:noWrap/>
            <w:vAlign w:val="bottom"/>
          </w:tcPr>
          <w:p w:rsidR="009334AB" w:rsidRPr="003B1B2D" w:rsidRDefault="009334AB" w:rsidP="007758A3">
            <w:pPr>
              <w:jc w:val="right"/>
              <w:rPr>
                <w:rFonts w:ascii="Calibri" w:hAnsi="Calibri" w:cs="Arial"/>
                <w:lang w:eastAsia="en-GB"/>
              </w:rPr>
            </w:pPr>
            <w:r w:rsidRPr="003B1B2D">
              <w:rPr>
                <w:rFonts w:ascii="Calibri" w:hAnsi="Calibri" w:cs="Arial"/>
                <w:lang w:eastAsia="en-GB"/>
              </w:rPr>
              <w:t>-</w:t>
            </w:r>
          </w:p>
        </w:tc>
        <w:tc>
          <w:tcPr>
            <w:tcW w:w="978" w:type="dxa"/>
            <w:gridSpan w:val="2"/>
            <w:tcBorders>
              <w:top w:val="nil"/>
              <w:left w:val="nil"/>
              <w:bottom w:val="nil"/>
              <w:right w:val="nil"/>
            </w:tcBorders>
            <w:shd w:val="clear" w:color="auto" w:fill="auto"/>
            <w:noWrap/>
            <w:vAlign w:val="bottom"/>
          </w:tcPr>
          <w:p w:rsidR="009334AB" w:rsidRPr="003B1B2D" w:rsidRDefault="009334AB" w:rsidP="007758A3">
            <w:pPr>
              <w:jc w:val="right"/>
              <w:rPr>
                <w:rFonts w:ascii="Calibri" w:hAnsi="Calibri" w:cs="Arial"/>
                <w:lang w:eastAsia="en-GB"/>
              </w:rPr>
            </w:pPr>
            <w:r w:rsidRPr="003B1B2D">
              <w:rPr>
                <w:rFonts w:ascii="Calibri" w:hAnsi="Calibri" w:cs="Arial"/>
                <w:lang w:eastAsia="en-GB"/>
              </w:rPr>
              <w:t>-</w:t>
            </w:r>
          </w:p>
        </w:tc>
        <w:tc>
          <w:tcPr>
            <w:tcW w:w="1274" w:type="dxa"/>
            <w:gridSpan w:val="2"/>
            <w:tcBorders>
              <w:top w:val="nil"/>
              <w:left w:val="nil"/>
              <w:bottom w:val="nil"/>
              <w:right w:val="nil"/>
            </w:tcBorders>
            <w:shd w:val="clear" w:color="auto" w:fill="auto"/>
            <w:noWrap/>
            <w:vAlign w:val="bottom"/>
          </w:tcPr>
          <w:p w:rsidR="009334AB" w:rsidRPr="003B1B2D" w:rsidRDefault="009334AB" w:rsidP="007758A3">
            <w:pPr>
              <w:jc w:val="right"/>
              <w:rPr>
                <w:rFonts w:ascii="Calibri" w:hAnsi="Calibri" w:cs="Arial"/>
                <w:lang w:eastAsia="en-GB"/>
              </w:rPr>
            </w:pPr>
            <w:r>
              <w:rPr>
                <w:rFonts w:ascii="Calibri" w:hAnsi="Calibri" w:cs="Arial"/>
                <w:lang w:eastAsia="en-GB"/>
              </w:rPr>
              <w:t>(2,0</w:t>
            </w:r>
            <w:r w:rsidRPr="003B1B2D">
              <w:rPr>
                <w:rFonts w:ascii="Calibri" w:hAnsi="Calibri" w:cs="Arial"/>
                <w:lang w:eastAsia="en-GB"/>
              </w:rPr>
              <w:t>00)</w:t>
            </w:r>
          </w:p>
        </w:tc>
        <w:tc>
          <w:tcPr>
            <w:tcW w:w="1209" w:type="dxa"/>
            <w:gridSpan w:val="2"/>
            <w:tcBorders>
              <w:top w:val="nil"/>
              <w:left w:val="nil"/>
              <w:bottom w:val="nil"/>
              <w:right w:val="nil"/>
            </w:tcBorders>
            <w:shd w:val="clear" w:color="auto" w:fill="auto"/>
            <w:noWrap/>
            <w:vAlign w:val="bottom"/>
          </w:tcPr>
          <w:p w:rsidR="009334AB" w:rsidRPr="003B1B2D" w:rsidRDefault="009334AB" w:rsidP="007758A3">
            <w:pPr>
              <w:jc w:val="right"/>
              <w:rPr>
                <w:rFonts w:ascii="Calibri" w:hAnsi="Calibri" w:cs="Arial"/>
                <w:lang w:eastAsia="en-GB"/>
              </w:rPr>
            </w:pPr>
            <w:r w:rsidRPr="003B1B2D">
              <w:rPr>
                <w:rFonts w:ascii="Calibri" w:hAnsi="Calibri" w:cs="Arial"/>
                <w:lang w:eastAsia="en-GB"/>
              </w:rPr>
              <w:t>-</w:t>
            </w:r>
          </w:p>
        </w:tc>
        <w:tc>
          <w:tcPr>
            <w:tcW w:w="1193" w:type="dxa"/>
            <w:tcBorders>
              <w:top w:val="nil"/>
              <w:left w:val="nil"/>
              <w:bottom w:val="nil"/>
              <w:right w:val="nil"/>
            </w:tcBorders>
            <w:shd w:val="clear" w:color="auto" w:fill="auto"/>
            <w:noWrap/>
            <w:vAlign w:val="bottom"/>
          </w:tcPr>
          <w:p w:rsidR="009334AB" w:rsidRPr="003B1B2D" w:rsidRDefault="009334AB" w:rsidP="007758A3">
            <w:pPr>
              <w:jc w:val="right"/>
              <w:rPr>
                <w:rFonts w:ascii="Calibri" w:hAnsi="Calibri" w:cs="Arial"/>
                <w:lang w:eastAsia="en-GB"/>
              </w:rPr>
            </w:pPr>
            <w:r>
              <w:rPr>
                <w:rFonts w:ascii="Calibri" w:hAnsi="Calibri" w:cs="Arial"/>
                <w:lang w:eastAsia="en-GB"/>
              </w:rPr>
              <w:t>(2,0</w:t>
            </w:r>
            <w:r w:rsidRPr="003B1B2D">
              <w:rPr>
                <w:rFonts w:ascii="Calibri" w:hAnsi="Calibri" w:cs="Arial"/>
                <w:lang w:eastAsia="en-GB"/>
              </w:rPr>
              <w:t>00)</w:t>
            </w:r>
          </w:p>
        </w:tc>
      </w:tr>
      <w:tr w:rsidR="009334AB" w:rsidRPr="003B1B2D" w:rsidTr="009334AB">
        <w:trPr>
          <w:gridAfter w:val="1"/>
          <w:divId w:val="411899501"/>
          <w:wAfter w:w="236" w:type="dxa"/>
          <w:trHeight w:val="306"/>
        </w:trPr>
        <w:tc>
          <w:tcPr>
            <w:tcW w:w="2934" w:type="dxa"/>
            <w:gridSpan w:val="4"/>
            <w:tcBorders>
              <w:top w:val="nil"/>
              <w:left w:val="nil"/>
              <w:bottom w:val="nil"/>
              <w:right w:val="nil"/>
            </w:tcBorders>
            <w:shd w:val="clear" w:color="auto" w:fill="auto"/>
            <w:noWrap/>
            <w:vAlign w:val="bottom"/>
            <w:hideMark/>
          </w:tcPr>
          <w:p w:rsidR="009334AB" w:rsidRPr="003B1B2D" w:rsidRDefault="009334AB" w:rsidP="006A44C0">
            <w:pPr>
              <w:jc w:val="left"/>
              <w:rPr>
                <w:rFonts w:ascii="Calibri" w:hAnsi="Calibri" w:cs="Arial"/>
                <w:lang w:eastAsia="en-GB"/>
              </w:rPr>
            </w:pPr>
            <w:r w:rsidRPr="003B1B2D">
              <w:rPr>
                <w:rFonts w:ascii="Calibri" w:hAnsi="Calibri" w:cs="Arial"/>
                <w:lang w:eastAsia="en-GB"/>
              </w:rPr>
              <w:t>Deferred taxation on revaluation</w:t>
            </w:r>
          </w:p>
        </w:tc>
        <w:tc>
          <w:tcPr>
            <w:tcW w:w="894" w:type="dxa"/>
            <w:tcBorders>
              <w:top w:val="nil"/>
              <w:left w:val="nil"/>
              <w:bottom w:val="single" w:sz="4" w:space="0" w:color="auto"/>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1333" w:type="dxa"/>
            <w:gridSpan w:val="2"/>
            <w:tcBorders>
              <w:top w:val="nil"/>
              <w:left w:val="nil"/>
              <w:bottom w:val="single" w:sz="4" w:space="0" w:color="auto"/>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895" w:type="dxa"/>
            <w:gridSpan w:val="2"/>
            <w:tcBorders>
              <w:top w:val="nil"/>
              <w:left w:val="nil"/>
              <w:bottom w:val="single" w:sz="4" w:space="0" w:color="auto"/>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978" w:type="dxa"/>
            <w:gridSpan w:val="2"/>
            <w:tcBorders>
              <w:top w:val="nil"/>
              <w:left w:val="nil"/>
              <w:bottom w:val="single" w:sz="4" w:space="0" w:color="auto"/>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1274" w:type="dxa"/>
            <w:gridSpan w:val="2"/>
            <w:tcBorders>
              <w:top w:val="nil"/>
              <w:left w:val="nil"/>
              <w:bottom w:val="single" w:sz="4" w:space="0" w:color="auto"/>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Pr>
                <w:rFonts w:ascii="Calibri" w:hAnsi="Calibri" w:cs="Arial"/>
                <w:lang w:eastAsia="en-GB"/>
              </w:rPr>
              <w:t xml:space="preserve">           </w:t>
            </w:r>
            <w:r w:rsidRPr="003B1B2D">
              <w:rPr>
                <w:rFonts w:ascii="Calibri" w:hAnsi="Calibri" w:cs="Arial"/>
                <w:lang w:eastAsia="en-GB"/>
              </w:rPr>
              <w:t>4</w:t>
            </w:r>
            <w:r>
              <w:rPr>
                <w:rFonts w:ascii="Calibri" w:hAnsi="Calibri" w:cs="Arial"/>
                <w:lang w:eastAsia="en-GB"/>
              </w:rPr>
              <w:t>15</w:t>
            </w:r>
            <w:r w:rsidRPr="003B1B2D">
              <w:rPr>
                <w:rFonts w:ascii="Calibri" w:hAnsi="Calibri" w:cs="Arial"/>
                <w:lang w:eastAsia="en-GB"/>
              </w:rPr>
              <w:t xml:space="preserve"> </w:t>
            </w:r>
          </w:p>
        </w:tc>
        <w:tc>
          <w:tcPr>
            <w:tcW w:w="1209" w:type="dxa"/>
            <w:gridSpan w:val="2"/>
            <w:tcBorders>
              <w:top w:val="nil"/>
              <w:left w:val="nil"/>
              <w:bottom w:val="single" w:sz="4" w:space="0" w:color="auto"/>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1193" w:type="dxa"/>
            <w:tcBorders>
              <w:top w:val="nil"/>
              <w:left w:val="nil"/>
              <w:bottom w:val="single" w:sz="4" w:space="0" w:color="auto"/>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Pr>
                <w:rFonts w:ascii="Calibri" w:hAnsi="Calibri" w:cs="Arial"/>
                <w:lang w:eastAsia="en-GB"/>
              </w:rPr>
              <w:t>415</w:t>
            </w:r>
            <w:r w:rsidRPr="003B1B2D">
              <w:rPr>
                <w:rFonts w:ascii="Calibri" w:hAnsi="Calibri" w:cs="Arial"/>
                <w:lang w:eastAsia="en-GB"/>
              </w:rPr>
              <w:t xml:space="preserve"> </w:t>
            </w:r>
          </w:p>
        </w:tc>
      </w:tr>
      <w:tr w:rsidR="009334AB" w:rsidRPr="003B1B2D" w:rsidTr="009334AB">
        <w:trPr>
          <w:gridAfter w:val="1"/>
          <w:divId w:val="411899501"/>
          <w:wAfter w:w="236" w:type="dxa"/>
          <w:trHeight w:val="306"/>
        </w:trPr>
        <w:tc>
          <w:tcPr>
            <w:tcW w:w="2934" w:type="dxa"/>
            <w:gridSpan w:val="4"/>
            <w:tcBorders>
              <w:top w:val="nil"/>
              <w:left w:val="nil"/>
              <w:bottom w:val="nil"/>
              <w:right w:val="nil"/>
            </w:tcBorders>
            <w:shd w:val="clear" w:color="auto" w:fill="auto"/>
            <w:noWrap/>
            <w:vAlign w:val="bottom"/>
            <w:hideMark/>
          </w:tcPr>
          <w:p w:rsidR="009334AB" w:rsidRPr="003B1B2D" w:rsidRDefault="009334AB" w:rsidP="006A44C0">
            <w:pPr>
              <w:jc w:val="left"/>
              <w:rPr>
                <w:rFonts w:ascii="Calibri" w:hAnsi="Calibri" w:cs="Arial"/>
                <w:lang w:eastAsia="en-GB"/>
              </w:rPr>
            </w:pPr>
            <w:r w:rsidRPr="003B1B2D">
              <w:rPr>
                <w:rFonts w:ascii="Calibri" w:hAnsi="Calibri" w:cs="Arial"/>
                <w:lang w:eastAsia="en-GB"/>
              </w:rPr>
              <w:t>Total comprehensive income</w:t>
            </w:r>
          </w:p>
        </w:tc>
        <w:tc>
          <w:tcPr>
            <w:tcW w:w="894" w:type="dxa"/>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1333"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895"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978"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1274"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Pr>
                <w:rFonts w:ascii="Calibri" w:hAnsi="Calibri" w:cs="Arial"/>
                <w:lang w:eastAsia="en-GB"/>
              </w:rPr>
              <w:t>1,915</w:t>
            </w:r>
            <w:r w:rsidRPr="003B1B2D">
              <w:rPr>
                <w:rFonts w:ascii="Calibri" w:hAnsi="Calibri" w:cs="Arial"/>
                <w:lang w:eastAsia="en-GB"/>
              </w:rPr>
              <w:t xml:space="preserve"> </w:t>
            </w:r>
          </w:p>
        </w:tc>
        <w:tc>
          <w:tcPr>
            <w:tcW w:w="1209"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Pr>
                <w:rFonts w:ascii="Calibri" w:hAnsi="Calibri" w:cs="Arial"/>
                <w:lang w:eastAsia="en-GB"/>
              </w:rPr>
              <w:t>(1,548)</w:t>
            </w:r>
          </w:p>
        </w:tc>
        <w:tc>
          <w:tcPr>
            <w:tcW w:w="1193" w:type="dxa"/>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Pr>
                <w:rFonts w:ascii="Calibri" w:hAnsi="Calibri" w:cs="Arial"/>
                <w:lang w:eastAsia="en-GB"/>
              </w:rPr>
              <w:t>367</w:t>
            </w:r>
          </w:p>
        </w:tc>
      </w:tr>
      <w:tr w:rsidR="009334AB" w:rsidRPr="003B1B2D" w:rsidTr="009334AB">
        <w:trPr>
          <w:gridAfter w:val="1"/>
          <w:divId w:val="411899501"/>
          <w:wAfter w:w="236" w:type="dxa"/>
          <w:trHeight w:val="306"/>
        </w:trPr>
        <w:tc>
          <w:tcPr>
            <w:tcW w:w="2934" w:type="dxa"/>
            <w:gridSpan w:val="4"/>
            <w:tcBorders>
              <w:top w:val="nil"/>
              <w:left w:val="nil"/>
              <w:bottom w:val="nil"/>
              <w:right w:val="nil"/>
            </w:tcBorders>
            <w:shd w:val="clear" w:color="auto" w:fill="auto"/>
            <w:noWrap/>
            <w:vAlign w:val="bottom"/>
            <w:hideMark/>
          </w:tcPr>
          <w:p w:rsidR="009334AB" w:rsidRPr="003B1B2D" w:rsidRDefault="009334AB" w:rsidP="006A44C0">
            <w:pPr>
              <w:jc w:val="left"/>
              <w:rPr>
                <w:rFonts w:ascii="Calibri" w:hAnsi="Calibri" w:cs="Arial"/>
                <w:lang w:eastAsia="en-GB"/>
              </w:rPr>
            </w:pPr>
            <w:r w:rsidRPr="003B1B2D">
              <w:rPr>
                <w:rFonts w:ascii="Calibri" w:hAnsi="Calibri" w:cs="Arial"/>
                <w:lang w:eastAsia="en-GB"/>
              </w:rPr>
              <w:t>Share based payment</w:t>
            </w:r>
          </w:p>
        </w:tc>
        <w:tc>
          <w:tcPr>
            <w:tcW w:w="894" w:type="dxa"/>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1333"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30 </w:t>
            </w:r>
          </w:p>
        </w:tc>
        <w:tc>
          <w:tcPr>
            <w:tcW w:w="895"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978"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1274"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1209"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1193" w:type="dxa"/>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30 </w:t>
            </w:r>
          </w:p>
        </w:tc>
        <w:bookmarkStart w:id="0" w:name="_GoBack"/>
        <w:bookmarkEnd w:id="0"/>
      </w:tr>
      <w:tr w:rsidR="009334AB" w:rsidRPr="003B1B2D" w:rsidTr="009334AB">
        <w:trPr>
          <w:gridAfter w:val="1"/>
          <w:divId w:val="411899501"/>
          <w:wAfter w:w="236" w:type="dxa"/>
          <w:trHeight w:val="306"/>
        </w:trPr>
        <w:tc>
          <w:tcPr>
            <w:tcW w:w="2934" w:type="dxa"/>
            <w:gridSpan w:val="4"/>
            <w:tcBorders>
              <w:top w:val="nil"/>
              <w:left w:val="nil"/>
              <w:bottom w:val="nil"/>
              <w:right w:val="nil"/>
            </w:tcBorders>
            <w:shd w:val="clear" w:color="auto" w:fill="auto"/>
            <w:noWrap/>
            <w:vAlign w:val="bottom"/>
          </w:tcPr>
          <w:p w:rsidR="009334AB" w:rsidRPr="003B1B2D" w:rsidRDefault="009334AB" w:rsidP="006A44C0">
            <w:pPr>
              <w:jc w:val="left"/>
              <w:rPr>
                <w:rFonts w:ascii="Calibri" w:hAnsi="Calibri" w:cs="Arial"/>
                <w:lang w:eastAsia="en-GB"/>
              </w:rPr>
            </w:pPr>
            <w:r>
              <w:rPr>
                <w:rFonts w:ascii="Calibri" w:hAnsi="Calibri" w:cs="Arial"/>
                <w:lang w:eastAsia="en-GB"/>
              </w:rPr>
              <w:t>Shares issued during the year</w:t>
            </w:r>
          </w:p>
        </w:tc>
        <w:tc>
          <w:tcPr>
            <w:tcW w:w="894" w:type="dxa"/>
            <w:tcBorders>
              <w:top w:val="nil"/>
              <w:left w:val="nil"/>
              <w:bottom w:val="nil"/>
              <w:right w:val="nil"/>
            </w:tcBorders>
            <w:shd w:val="clear" w:color="auto" w:fill="auto"/>
            <w:noWrap/>
            <w:vAlign w:val="bottom"/>
          </w:tcPr>
          <w:p w:rsidR="009334AB" w:rsidRPr="003B1B2D" w:rsidRDefault="009334AB" w:rsidP="007758A3">
            <w:pPr>
              <w:jc w:val="right"/>
              <w:rPr>
                <w:rFonts w:ascii="Calibri" w:hAnsi="Calibri" w:cs="Arial"/>
                <w:lang w:eastAsia="en-GB"/>
              </w:rPr>
            </w:pPr>
            <w:r>
              <w:rPr>
                <w:rFonts w:ascii="Calibri" w:hAnsi="Calibri" w:cs="Arial"/>
                <w:lang w:eastAsia="en-GB"/>
              </w:rPr>
              <w:t>4,517</w:t>
            </w:r>
          </w:p>
        </w:tc>
        <w:tc>
          <w:tcPr>
            <w:tcW w:w="1333" w:type="dxa"/>
            <w:gridSpan w:val="2"/>
            <w:tcBorders>
              <w:top w:val="nil"/>
              <w:left w:val="nil"/>
              <w:bottom w:val="nil"/>
              <w:right w:val="nil"/>
            </w:tcBorders>
            <w:shd w:val="clear" w:color="auto" w:fill="auto"/>
            <w:noWrap/>
            <w:vAlign w:val="bottom"/>
          </w:tcPr>
          <w:p w:rsidR="009334AB" w:rsidRPr="003B1B2D" w:rsidRDefault="009334AB" w:rsidP="007758A3">
            <w:pPr>
              <w:jc w:val="right"/>
              <w:rPr>
                <w:rFonts w:ascii="Calibri" w:hAnsi="Calibri" w:cs="Arial"/>
                <w:lang w:eastAsia="en-GB"/>
              </w:rPr>
            </w:pPr>
            <w:r>
              <w:rPr>
                <w:rFonts w:ascii="Calibri" w:hAnsi="Calibri" w:cs="Arial"/>
                <w:lang w:eastAsia="en-GB"/>
              </w:rPr>
              <w:t>-</w:t>
            </w:r>
          </w:p>
        </w:tc>
        <w:tc>
          <w:tcPr>
            <w:tcW w:w="895" w:type="dxa"/>
            <w:gridSpan w:val="2"/>
            <w:tcBorders>
              <w:top w:val="nil"/>
              <w:left w:val="nil"/>
              <w:bottom w:val="nil"/>
              <w:right w:val="nil"/>
            </w:tcBorders>
            <w:shd w:val="clear" w:color="auto" w:fill="auto"/>
            <w:noWrap/>
            <w:vAlign w:val="bottom"/>
          </w:tcPr>
          <w:p w:rsidR="009334AB" w:rsidRPr="003B1B2D" w:rsidRDefault="009334AB" w:rsidP="007758A3">
            <w:pPr>
              <w:jc w:val="right"/>
              <w:rPr>
                <w:rFonts w:ascii="Calibri" w:hAnsi="Calibri" w:cs="Arial"/>
                <w:lang w:eastAsia="en-GB"/>
              </w:rPr>
            </w:pPr>
            <w:r>
              <w:rPr>
                <w:rFonts w:ascii="Calibri" w:hAnsi="Calibri" w:cs="Arial"/>
                <w:lang w:eastAsia="en-GB"/>
              </w:rPr>
              <w:t>-</w:t>
            </w:r>
          </w:p>
        </w:tc>
        <w:tc>
          <w:tcPr>
            <w:tcW w:w="978" w:type="dxa"/>
            <w:gridSpan w:val="2"/>
            <w:tcBorders>
              <w:top w:val="nil"/>
              <w:left w:val="nil"/>
              <w:bottom w:val="nil"/>
              <w:right w:val="nil"/>
            </w:tcBorders>
            <w:shd w:val="clear" w:color="auto" w:fill="auto"/>
            <w:noWrap/>
            <w:vAlign w:val="bottom"/>
          </w:tcPr>
          <w:p w:rsidR="009334AB" w:rsidRPr="003B1B2D" w:rsidRDefault="009334AB" w:rsidP="007758A3">
            <w:pPr>
              <w:jc w:val="right"/>
              <w:rPr>
                <w:rFonts w:ascii="Calibri" w:hAnsi="Calibri" w:cs="Arial"/>
                <w:lang w:eastAsia="en-GB"/>
              </w:rPr>
            </w:pPr>
            <w:r>
              <w:rPr>
                <w:rFonts w:ascii="Calibri" w:hAnsi="Calibri" w:cs="Arial"/>
                <w:lang w:eastAsia="en-GB"/>
              </w:rPr>
              <w:t>5,055</w:t>
            </w:r>
          </w:p>
        </w:tc>
        <w:tc>
          <w:tcPr>
            <w:tcW w:w="1274" w:type="dxa"/>
            <w:gridSpan w:val="2"/>
            <w:tcBorders>
              <w:top w:val="nil"/>
              <w:left w:val="nil"/>
              <w:bottom w:val="nil"/>
              <w:right w:val="nil"/>
            </w:tcBorders>
            <w:shd w:val="clear" w:color="auto" w:fill="auto"/>
            <w:noWrap/>
            <w:vAlign w:val="bottom"/>
          </w:tcPr>
          <w:p w:rsidR="009334AB" w:rsidRPr="003B1B2D" w:rsidRDefault="009334AB" w:rsidP="007758A3">
            <w:pPr>
              <w:jc w:val="right"/>
              <w:rPr>
                <w:rFonts w:ascii="Calibri" w:hAnsi="Calibri" w:cs="Arial"/>
                <w:lang w:eastAsia="en-GB"/>
              </w:rPr>
            </w:pPr>
            <w:r>
              <w:rPr>
                <w:rFonts w:ascii="Calibri" w:hAnsi="Calibri" w:cs="Arial"/>
                <w:lang w:eastAsia="en-GB"/>
              </w:rPr>
              <w:t>-</w:t>
            </w:r>
          </w:p>
        </w:tc>
        <w:tc>
          <w:tcPr>
            <w:tcW w:w="1209" w:type="dxa"/>
            <w:gridSpan w:val="2"/>
            <w:tcBorders>
              <w:top w:val="nil"/>
              <w:left w:val="nil"/>
              <w:bottom w:val="nil"/>
              <w:right w:val="nil"/>
            </w:tcBorders>
            <w:shd w:val="clear" w:color="auto" w:fill="auto"/>
            <w:noWrap/>
            <w:vAlign w:val="bottom"/>
          </w:tcPr>
          <w:p w:rsidR="009334AB" w:rsidRPr="003B1B2D" w:rsidRDefault="009334AB" w:rsidP="007758A3">
            <w:pPr>
              <w:jc w:val="right"/>
              <w:rPr>
                <w:rFonts w:ascii="Calibri" w:hAnsi="Calibri" w:cs="Arial"/>
                <w:lang w:eastAsia="en-GB"/>
              </w:rPr>
            </w:pPr>
            <w:r>
              <w:rPr>
                <w:rFonts w:ascii="Calibri" w:hAnsi="Calibri" w:cs="Arial"/>
                <w:lang w:eastAsia="en-GB"/>
              </w:rPr>
              <w:t>-</w:t>
            </w:r>
          </w:p>
        </w:tc>
        <w:tc>
          <w:tcPr>
            <w:tcW w:w="1193" w:type="dxa"/>
            <w:tcBorders>
              <w:top w:val="nil"/>
              <w:left w:val="nil"/>
              <w:bottom w:val="nil"/>
              <w:right w:val="nil"/>
            </w:tcBorders>
            <w:shd w:val="clear" w:color="auto" w:fill="auto"/>
            <w:noWrap/>
            <w:vAlign w:val="bottom"/>
          </w:tcPr>
          <w:p w:rsidR="009334AB" w:rsidRPr="003B1B2D" w:rsidRDefault="009334AB" w:rsidP="007758A3">
            <w:pPr>
              <w:jc w:val="right"/>
              <w:rPr>
                <w:rFonts w:ascii="Calibri" w:hAnsi="Calibri" w:cs="Arial"/>
                <w:lang w:eastAsia="en-GB"/>
              </w:rPr>
            </w:pPr>
            <w:r>
              <w:rPr>
                <w:rFonts w:ascii="Calibri" w:hAnsi="Calibri" w:cs="Arial"/>
                <w:lang w:eastAsia="en-GB"/>
              </w:rPr>
              <w:t>9,572</w:t>
            </w:r>
          </w:p>
        </w:tc>
      </w:tr>
      <w:tr w:rsidR="009334AB" w:rsidRPr="003B1B2D" w:rsidTr="009334AB">
        <w:trPr>
          <w:gridAfter w:val="1"/>
          <w:divId w:val="411899501"/>
          <w:wAfter w:w="236" w:type="dxa"/>
          <w:trHeight w:val="306"/>
        </w:trPr>
        <w:tc>
          <w:tcPr>
            <w:tcW w:w="2934" w:type="dxa"/>
            <w:gridSpan w:val="4"/>
            <w:tcBorders>
              <w:top w:val="nil"/>
              <w:left w:val="nil"/>
              <w:bottom w:val="nil"/>
              <w:right w:val="nil"/>
            </w:tcBorders>
            <w:shd w:val="clear" w:color="auto" w:fill="auto"/>
            <w:noWrap/>
            <w:vAlign w:val="bottom"/>
            <w:hideMark/>
          </w:tcPr>
          <w:p w:rsidR="009334AB" w:rsidRPr="003B1B2D" w:rsidRDefault="009334AB" w:rsidP="006A44C0">
            <w:pPr>
              <w:jc w:val="left"/>
              <w:rPr>
                <w:rFonts w:ascii="Calibri" w:hAnsi="Calibri" w:cs="Arial"/>
                <w:lang w:eastAsia="en-GB"/>
              </w:rPr>
            </w:pPr>
            <w:r w:rsidRPr="003B1B2D">
              <w:rPr>
                <w:rFonts w:ascii="Calibri" w:hAnsi="Calibri" w:cs="Arial"/>
                <w:lang w:eastAsia="en-GB"/>
              </w:rPr>
              <w:t>Transfer to retained earnings</w:t>
            </w:r>
          </w:p>
        </w:tc>
        <w:tc>
          <w:tcPr>
            <w:tcW w:w="894" w:type="dxa"/>
            <w:tcBorders>
              <w:top w:val="nil"/>
              <w:left w:val="nil"/>
              <w:bottom w:val="single" w:sz="4" w:space="0" w:color="auto"/>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1333" w:type="dxa"/>
            <w:gridSpan w:val="2"/>
            <w:tcBorders>
              <w:top w:val="nil"/>
              <w:left w:val="nil"/>
              <w:bottom w:val="single" w:sz="4" w:space="0" w:color="auto"/>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895" w:type="dxa"/>
            <w:gridSpan w:val="2"/>
            <w:tcBorders>
              <w:top w:val="nil"/>
              <w:left w:val="nil"/>
              <w:bottom w:val="single" w:sz="4" w:space="0" w:color="auto"/>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978" w:type="dxa"/>
            <w:gridSpan w:val="2"/>
            <w:tcBorders>
              <w:top w:val="nil"/>
              <w:left w:val="nil"/>
              <w:bottom w:val="single" w:sz="4" w:space="0" w:color="auto"/>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1274" w:type="dxa"/>
            <w:gridSpan w:val="2"/>
            <w:tcBorders>
              <w:top w:val="nil"/>
              <w:left w:val="nil"/>
              <w:bottom w:val="single" w:sz="4" w:space="0" w:color="auto"/>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(134)</w:t>
            </w:r>
          </w:p>
        </w:tc>
        <w:tc>
          <w:tcPr>
            <w:tcW w:w="1209" w:type="dxa"/>
            <w:gridSpan w:val="2"/>
            <w:tcBorders>
              <w:top w:val="nil"/>
              <w:left w:val="nil"/>
              <w:bottom w:val="single" w:sz="4" w:space="0" w:color="auto"/>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134 </w:t>
            </w:r>
          </w:p>
        </w:tc>
        <w:tc>
          <w:tcPr>
            <w:tcW w:w="1193" w:type="dxa"/>
            <w:tcBorders>
              <w:top w:val="nil"/>
              <w:left w:val="nil"/>
              <w:bottom w:val="single" w:sz="4" w:space="0" w:color="auto"/>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r>
      <w:tr w:rsidR="009334AB" w:rsidRPr="003B1B2D" w:rsidTr="009334AB">
        <w:trPr>
          <w:gridAfter w:val="1"/>
          <w:divId w:val="411899501"/>
          <w:wAfter w:w="236" w:type="dxa"/>
          <w:trHeight w:val="306"/>
        </w:trPr>
        <w:tc>
          <w:tcPr>
            <w:tcW w:w="2934" w:type="dxa"/>
            <w:gridSpan w:val="4"/>
            <w:tcBorders>
              <w:top w:val="nil"/>
              <w:left w:val="nil"/>
              <w:bottom w:val="nil"/>
              <w:right w:val="nil"/>
            </w:tcBorders>
            <w:shd w:val="clear" w:color="auto" w:fill="auto"/>
            <w:noWrap/>
            <w:vAlign w:val="bottom"/>
            <w:hideMark/>
          </w:tcPr>
          <w:p w:rsidR="009334AB" w:rsidRPr="003B1B2D" w:rsidRDefault="009334AB" w:rsidP="003B1B2D">
            <w:pPr>
              <w:jc w:val="left"/>
              <w:rPr>
                <w:rFonts w:ascii="Calibri" w:hAnsi="Calibri" w:cs="Arial"/>
                <w:b/>
                <w:bCs/>
                <w:lang w:eastAsia="en-GB"/>
              </w:rPr>
            </w:pPr>
            <w:r w:rsidRPr="003B1B2D">
              <w:rPr>
                <w:rFonts w:ascii="Calibri" w:hAnsi="Calibri" w:cs="Arial"/>
                <w:b/>
                <w:bCs/>
                <w:lang w:eastAsia="en-GB"/>
              </w:rPr>
              <w:t>As at 31 December 2013</w:t>
            </w:r>
          </w:p>
        </w:tc>
        <w:tc>
          <w:tcPr>
            <w:tcW w:w="894" w:type="dxa"/>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b/>
                <w:bCs/>
                <w:lang w:eastAsia="en-GB"/>
              </w:rPr>
            </w:pPr>
            <w:r>
              <w:rPr>
                <w:rFonts w:ascii="Calibri" w:hAnsi="Calibri" w:cs="Arial"/>
                <w:b/>
                <w:bCs/>
                <w:lang w:eastAsia="en-GB"/>
              </w:rPr>
              <w:t>16,162</w:t>
            </w:r>
            <w:r w:rsidRPr="003B1B2D">
              <w:rPr>
                <w:rFonts w:ascii="Calibri" w:hAnsi="Calibri" w:cs="Arial"/>
                <w:b/>
                <w:bCs/>
                <w:lang w:eastAsia="en-GB"/>
              </w:rPr>
              <w:t xml:space="preserve"> </w:t>
            </w:r>
          </w:p>
        </w:tc>
        <w:tc>
          <w:tcPr>
            <w:tcW w:w="1333"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b/>
                <w:bCs/>
                <w:lang w:eastAsia="en-GB"/>
              </w:rPr>
            </w:pPr>
            <w:r>
              <w:rPr>
                <w:rFonts w:ascii="Calibri" w:hAnsi="Calibri" w:cs="Arial"/>
                <w:b/>
                <w:bCs/>
                <w:lang w:eastAsia="en-GB"/>
              </w:rPr>
              <w:t>246</w:t>
            </w:r>
          </w:p>
        </w:tc>
        <w:tc>
          <w:tcPr>
            <w:tcW w:w="895"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b/>
                <w:bCs/>
                <w:lang w:eastAsia="en-GB"/>
              </w:rPr>
            </w:pPr>
            <w:r w:rsidRPr="003B1B2D">
              <w:rPr>
                <w:rFonts w:ascii="Calibri" w:hAnsi="Calibri" w:cs="Arial"/>
                <w:b/>
                <w:bCs/>
                <w:lang w:eastAsia="en-GB"/>
              </w:rPr>
              <w:t xml:space="preserve">979 </w:t>
            </w:r>
          </w:p>
        </w:tc>
        <w:tc>
          <w:tcPr>
            <w:tcW w:w="978"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b/>
                <w:bCs/>
                <w:lang w:eastAsia="en-GB"/>
              </w:rPr>
            </w:pPr>
            <w:r>
              <w:rPr>
                <w:rFonts w:ascii="Calibri" w:hAnsi="Calibri" w:cs="Arial"/>
                <w:b/>
                <w:bCs/>
                <w:lang w:eastAsia="en-GB"/>
              </w:rPr>
              <w:t>11,495</w:t>
            </w:r>
          </w:p>
        </w:tc>
        <w:tc>
          <w:tcPr>
            <w:tcW w:w="1274"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b/>
                <w:bCs/>
                <w:lang w:eastAsia="en-GB"/>
              </w:rPr>
            </w:pPr>
            <w:r>
              <w:rPr>
                <w:rFonts w:ascii="Calibri" w:hAnsi="Calibri" w:cs="Arial"/>
                <w:b/>
                <w:bCs/>
                <w:lang w:eastAsia="en-GB"/>
              </w:rPr>
              <w:t>19,705</w:t>
            </w:r>
          </w:p>
        </w:tc>
        <w:tc>
          <w:tcPr>
            <w:tcW w:w="1209"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b/>
                <w:bCs/>
                <w:lang w:eastAsia="en-GB"/>
              </w:rPr>
            </w:pPr>
            <w:r>
              <w:rPr>
                <w:rFonts w:ascii="Calibri" w:hAnsi="Calibri" w:cs="Arial"/>
                <w:b/>
                <w:bCs/>
                <w:lang w:eastAsia="en-GB"/>
              </w:rPr>
              <w:t>(3,084)</w:t>
            </w:r>
          </w:p>
        </w:tc>
        <w:tc>
          <w:tcPr>
            <w:tcW w:w="1193" w:type="dxa"/>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b/>
                <w:bCs/>
                <w:lang w:eastAsia="en-GB"/>
              </w:rPr>
            </w:pPr>
            <w:r>
              <w:rPr>
                <w:rFonts w:ascii="Calibri" w:hAnsi="Calibri" w:cs="Arial"/>
                <w:b/>
                <w:bCs/>
                <w:lang w:eastAsia="en-GB"/>
              </w:rPr>
              <w:t>45,503</w:t>
            </w:r>
          </w:p>
        </w:tc>
      </w:tr>
      <w:tr w:rsidR="009334AB" w:rsidRPr="003B1B2D" w:rsidTr="009334AB">
        <w:trPr>
          <w:gridAfter w:val="1"/>
          <w:divId w:val="411899501"/>
          <w:wAfter w:w="236" w:type="dxa"/>
          <w:trHeight w:val="563"/>
        </w:trPr>
        <w:tc>
          <w:tcPr>
            <w:tcW w:w="2934" w:type="dxa"/>
            <w:gridSpan w:val="4"/>
            <w:tcBorders>
              <w:top w:val="nil"/>
              <w:left w:val="nil"/>
              <w:bottom w:val="nil"/>
              <w:right w:val="nil"/>
            </w:tcBorders>
            <w:shd w:val="clear" w:color="auto" w:fill="auto"/>
            <w:noWrap/>
            <w:vAlign w:val="bottom"/>
            <w:hideMark/>
          </w:tcPr>
          <w:p w:rsidR="009334AB" w:rsidRPr="003B1B2D" w:rsidRDefault="009334AB" w:rsidP="006A44C0">
            <w:pPr>
              <w:jc w:val="left"/>
              <w:rPr>
                <w:rFonts w:ascii="Calibri" w:hAnsi="Calibri" w:cs="Arial"/>
                <w:lang w:eastAsia="en-GB"/>
              </w:rPr>
            </w:pPr>
            <w:r w:rsidRPr="003B1B2D">
              <w:rPr>
                <w:rFonts w:ascii="Calibri" w:hAnsi="Calibri" w:cs="Arial"/>
                <w:lang w:eastAsia="en-GB"/>
              </w:rPr>
              <w:t>Profit for the year</w:t>
            </w:r>
          </w:p>
        </w:tc>
        <w:tc>
          <w:tcPr>
            <w:tcW w:w="894" w:type="dxa"/>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1333"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895"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978"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1274"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1209"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Pr>
                <w:rFonts w:ascii="Calibri" w:hAnsi="Calibri" w:cs="Arial"/>
                <w:lang w:eastAsia="en-GB"/>
              </w:rPr>
              <w:t>2,201</w:t>
            </w:r>
          </w:p>
        </w:tc>
        <w:tc>
          <w:tcPr>
            <w:tcW w:w="1193" w:type="dxa"/>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Pr>
                <w:rFonts w:ascii="Calibri" w:hAnsi="Calibri" w:cs="Arial"/>
                <w:lang w:eastAsia="en-GB"/>
              </w:rPr>
              <w:t>2,201</w:t>
            </w:r>
          </w:p>
        </w:tc>
      </w:tr>
      <w:tr w:rsidR="009334AB" w:rsidRPr="003B1B2D" w:rsidTr="009334AB">
        <w:trPr>
          <w:gridAfter w:val="1"/>
          <w:divId w:val="411899501"/>
          <w:wAfter w:w="236" w:type="dxa"/>
          <w:trHeight w:val="306"/>
        </w:trPr>
        <w:tc>
          <w:tcPr>
            <w:tcW w:w="2934" w:type="dxa"/>
            <w:gridSpan w:val="4"/>
            <w:tcBorders>
              <w:top w:val="nil"/>
              <w:left w:val="nil"/>
              <w:bottom w:val="nil"/>
              <w:right w:val="nil"/>
            </w:tcBorders>
            <w:shd w:val="clear" w:color="auto" w:fill="auto"/>
            <w:noWrap/>
            <w:vAlign w:val="bottom"/>
          </w:tcPr>
          <w:p w:rsidR="009334AB" w:rsidRPr="003B1B2D" w:rsidRDefault="009334AB" w:rsidP="004C12B8">
            <w:pPr>
              <w:jc w:val="left"/>
              <w:rPr>
                <w:rFonts w:ascii="Calibri" w:hAnsi="Calibri" w:cs="Arial"/>
                <w:lang w:eastAsia="en-GB"/>
              </w:rPr>
            </w:pPr>
            <w:r w:rsidRPr="003B1B2D">
              <w:rPr>
                <w:rFonts w:ascii="Calibri" w:hAnsi="Calibri" w:cs="Arial"/>
                <w:lang w:eastAsia="en-GB"/>
              </w:rPr>
              <w:t>Revaluation deficit</w:t>
            </w:r>
          </w:p>
        </w:tc>
        <w:tc>
          <w:tcPr>
            <w:tcW w:w="894" w:type="dxa"/>
            <w:tcBorders>
              <w:top w:val="nil"/>
              <w:left w:val="nil"/>
              <w:bottom w:val="nil"/>
              <w:right w:val="nil"/>
            </w:tcBorders>
            <w:shd w:val="clear" w:color="auto" w:fill="auto"/>
            <w:noWrap/>
            <w:vAlign w:val="bottom"/>
          </w:tcPr>
          <w:p w:rsidR="009334AB" w:rsidRPr="003B1B2D" w:rsidRDefault="009334AB" w:rsidP="007758A3">
            <w:pPr>
              <w:jc w:val="right"/>
              <w:rPr>
                <w:rFonts w:ascii="Calibri" w:hAnsi="Calibri" w:cs="Arial"/>
                <w:lang w:eastAsia="en-GB"/>
              </w:rPr>
            </w:pPr>
            <w:r w:rsidRPr="003B1B2D">
              <w:rPr>
                <w:rFonts w:ascii="Calibri" w:hAnsi="Calibri" w:cs="Arial"/>
                <w:lang w:eastAsia="en-GB"/>
              </w:rPr>
              <w:t>-</w:t>
            </w:r>
          </w:p>
        </w:tc>
        <w:tc>
          <w:tcPr>
            <w:tcW w:w="1333" w:type="dxa"/>
            <w:gridSpan w:val="2"/>
            <w:tcBorders>
              <w:top w:val="nil"/>
              <w:left w:val="nil"/>
              <w:bottom w:val="nil"/>
              <w:right w:val="nil"/>
            </w:tcBorders>
            <w:shd w:val="clear" w:color="auto" w:fill="auto"/>
            <w:noWrap/>
            <w:vAlign w:val="bottom"/>
          </w:tcPr>
          <w:p w:rsidR="009334AB" w:rsidRPr="003B1B2D" w:rsidRDefault="009334AB" w:rsidP="007758A3">
            <w:pPr>
              <w:jc w:val="right"/>
              <w:rPr>
                <w:rFonts w:ascii="Calibri" w:hAnsi="Calibri" w:cs="Arial"/>
                <w:lang w:eastAsia="en-GB"/>
              </w:rPr>
            </w:pPr>
            <w:r w:rsidRPr="003B1B2D">
              <w:rPr>
                <w:rFonts w:ascii="Calibri" w:hAnsi="Calibri" w:cs="Arial"/>
                <w:lang w:eastAsia="en-GB"/>
              </w:rPr>
              <w:t>-</w:t>
            </w:r>
          </w:p>
        </w:tc>
        <w:tc>
          <w:tcPr>
            <w:tcW w:w="895" w:type="dxa"/>
            <w:gridSpan w:val="2"/>
            <w:tcBorders>
              <w:top w:val="nil"/>
              <w:left w:val="nil"/>
              <w:bottom w:val="nil"/>
              <w:right w:val="nil"/>
            </w:tcBorders>
            <w:shd w:val="clear" w:color="auto" w:fill="auto"/>
            <w:noWrap/>
            <w:vAlign w:val="bottom"/>
          </w:tcPr>
          <w:p w:rsidR="009334AB" w:rsidRPr="003B1B2D" w:rsidRDefault="009334AB" w:rsidP="007758A3">
            <w:pPr>
              <w:jc w:val="right"/>
              <w:rPr>
                <w:rFonts w:ascii="Calibri" w:hAnsi="Calibri" w:cs="Arial"/>
                <w:lang w:eastAsia="en-GB"/>
              </w:rPr>
            </w:pPr>
            <w:r w:rsidRPr="003B1B2D">
              <w:rPr>
                <w:rFonts w:ascii="Calibri" w:hAnsi="Calibri" w:cs="Arial"/>
                <w:lang w:eastAsia="en-GB"/>
              </w:rPr>
              <w:t>-</w:t>
            </w:r>
          </w:p>
        </w:tc>
        <w:tc>
          <w:tcPr>
            <w:tcW w:w="978" w:type="dxa"/>
            <w:gridSpan w:val="2"/>
            <w:tcBorders>
              <w:top w:val="nil"/>
              <w:left w:val="nil"/>
              <w:bottom w:val="nil"/>
              <w:right w:val="nil"/>
            </w:tcBorders>
            <w:shd w:val="clear" w:color="auto" w:fill="auto"/>
            <w:noWrap/>
            <w:vAlign w:val="bottom"/>
          </w:tcPr>
          <w:p w:rsidR="009334AB" w:rsidRPr="003B1B2D" w:rsidRDefault="009334AB" w:rsidP="007758A3">
            <w:pPr>
              <w:jc w:val="right"/>
              <w:rPr>
                <w:rFonts w:ascii="Calibri" w:hAnsi="Calibri" w:cs="Arial"/>
                <w:lang w:eastAsia="en-GB"/>
              </w:rPr>
            </w:pPr>
            <w:r w:rsidRPr="003B1B2D">
              <w:rPr>
                <w:rFonts w:ascii="Calibri" w:hAnsi="Calibri" w:cs="Arial"/>
                <w:lang w:eastAsia="en-GB"/>
              </w:rPr>
              <w:t>-</w:t>
            </w:r>
          </w:p>
        </w:tc>
        <w:tc>
          <w:tcPr>
            <w:tcW w:w="1274" w:type="dxa"/>
            <w:gridSpan w:val="2"/>
            <w:tcBorders>
              <w:top w:val="nil"/>
              <w:left w:val="nil"/>
              <w:bottom w:val="nil"/>
              <w:right w:val="nil"/>
            </w:tcBorders>
            <w:shd w:val="clear" w:color="auto" w:fill="auto"/>
            <w:noWrap/>
            <w:vAlign w:val="bottom"/>
          </w:tcPr>
          <w:p w:rsidR="009334AB" w:rsidRPr="003B1B2D" w:rsidRDefault="009334AB" w:rsidP="007758A3">
            <w:pPr>
              <w:jc w:val="right"/>
              <w:rPr>
                <w:rFonts w:ascii="Calibri" w:hAnsi="Calibri" w:cs="Arial"/>
                <w:lang w:eastAsia="en-GB"/>
              </w:rPr>
            </w:pPr>
            <w:r>
              <w:rPr>
                <w:rFonts w:ascii="Calibri" w:hAnsi="Calibri" w:cs="Arial"/>
                <w:lang w:eastAsia="en-GB"/>
              </w:rPr>
              <w:t>(1</w:t>
            </w:r>
            <w:r w:rsidRPr="003B1B2D">
              <w:rPr>
                <w:rFonts w:ascii="Calibri" w:hAnsi="Calibri" w:cs="Arial"/>
                <w:lang w:eastAsia="en-GB"/>
              </w:rPr>
              <w:t>,000)</w:t>
            </w:r>
          </w:p>
        </w:tc>
        <w:tc>
          <w:tcPr>
            <w:tcW w:w="1209" w:type="dxa"/>
            <w:gridSpan w:val="2"/>
            <w:tcBorders>
              <w:top w:val="nil"/>
              <w:left w:val="nil"/>
              <w:bottom w:val="nil"/>
              <w:right w:val="nil"/>
            </w:tcBorders>
            <w:shd w:val="clear" w:color="auto" w:fill="auto"/>
            <w:noWrap/>
            <w:vAlign w:val="bottom"/>
          </w:tcPr>
          <w:p w:rsidR="009334AB" w:rsidRPr="003B1B2D" w:rsidRDefault="009334AB" w:rsidP="007758A3">
            <w:pPr>
              <w:jc w:val="right"/>
              <w:rPr>
                <w:rFonts w:ascii="Calibri" w:hAnsi="Calibri" w:cs="Arial"/>
                <w:lang w:eastAsia="en-GB"/>
              </w:rPr>
            </w:pPr>
            <w:r w:rsidRPr="003B1B2D">
              <w:rPr>
                <w:rFonts w:ascii="Calibri" w:hAnsi="Calibri" w:cs="Arial"/>
                <w:lang w:eastAsia="en-GB"/>
              </w:rPr>
              <w:t>-</w:t>
            </w:r>
          </w:p>
        </w:tc>
        <w:tc>
          <w:tcPr>
            <w:tcW w:w="1193" w:type="dxa"/>
            <w:tcBorders>
              <w:top w:val="nil"/>
              <w:left w:val="nil"/>
              <w:bottom w:val="nil"/>
              <w:right w:val="nil"/>
            </w:tcBorders>
            <w:shd w:val="clear" w:color="auto" w:fill="auto"/>
            <w:noWrap/>
            <w:vAlign w:val="bottom"/>
          </w:tcPr>
          <w:p w:rsidR="009334AB" w:rsidRPr="003B1B2D" w:rsidRDefault="009334AB" w:rsidP="007758A3">
            <w:pPr>
              <w:jc w:val="right"/>
              <w:rPr>
                <w:rFonts w:ascii="Calibri" w:hAnsi="Calibri" w:cs="Arial"/>
                <w:lang w:eastAsia="en-GB"/>
              </w:rPr>
            </w:pPr>
            <w:r w:rsidRPr="003B1B2D">
              <w:rPr>
                <w:rFonts w:ascii="Calibri" w:hAnsi="Calibri" w:cs="Arial"/>
                <w:lang w:eastAsia="en-GB"/>
              </w:rPr>
              <w:t>(2,000)</w:t>
            </w:r>
          </w:p>
        </w:tc>
      </w:tr>
      <w:tr w:rsidR="009334AB" w:rsidRPr="003B1B2D" w:rsidTr="009334AB">
        <w:trPr>
          <w:gridAfter w:val="1"/>
          <w:divId w:val="411899501"/>
          <w:wAfter w:w="236" w:type="dxa"/>
          <w:trHeight w:val="306"/>
        </w:trPr>
        <w:tc>
          <w:tcPr>
            <w:tcW w:w="2934" w:type="dxa"/>
            <w:gridSpan w:val="4"/>
            <w:tcBorders>
              <w:top w:val="nil"/>
              <w:left w:val="nil"/>
              <w:bottom w:val="nil"/>
              <w:right w:val="nil"/>
            </w:tcBorders>
            <w:shd w:val="clear" w:color="auto" w:fill="auto"/>
            <w:noWrap/>
            <w:vAlign w:val="bottom"/>
            <w:hideMark/>
          </w:tcPr>
          <w:p w:rsidR="009334AB" w:rsidRPr="003B1B2D" w:rsidRDefault="009334AB" w:rsidP="006A44C0">
            <w:pPr>
              <w:jc w:val="left"/>
              <w:rPr>
                <w:rFonts w:ascii="Calibri" w:hAnsi="Calibri" w:cs="Arial"/>
                <w:lang w:eastAsia="en-GB"/>
              </w:rPr>
            </w:pPr>
            <w:r w:rsidRPr="003B1B2D">
              <w:rPr>
                <w:rFonts w:ascii="Calibri" w:hAnsi="Calibri" w:cs="Arial"/>
                <w:lang w:eastAsia="en-GB"/>
              </w:rPr>
              <w:t>Deferred taxation on revaluation</w:t>
            </w:r>
          </w:p>
        </w:tc>
        <w:tc>
          <w:tcPr>
            <w:tcW w:w="894" w:type="dxa"/>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1333"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895"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978"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1274"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Pr>
                <w:rFonts w:ascii="Calibri" w:hAnsi="Calibri" w:cs="Arial"/>
                <w:lang w:eastAsia="en-GB"/>
              </w:rPr>
              <w:t>(128)</w:t>
            </w:r>
            <w:r w:rsidRPr="003B1B2D">
              <w:rPr>
                <w:rFonts w:ascii="Calibri" w:hAnsi="Calibri" w:cs="Arial"/>
                <w:lang w:eastAsia="en-GB"/>
              </w:rPr>
              <w:t xml:space="preserve"> </w:t>
            </w:r>
          </w:p>
        </w:tc>
        <w:tc>
          <w:tcPr>
            <w:tcW w:w="1209"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1193" w:type="dxa"/>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Pr>
                <w:rFonts w:ascii="Calibri" w:hAnsi="Calibri" w:cs="Arial"/>
                <w:lang w:eastAsia="en-GB"/>
              </w:rPr>
              <w:t>(128)</w:t>
            </w:r>
          </w:p>
        </w:tc>
      </w:tr>
      <w:tr w:rsidR="009334AB" w:rsidRPr="003B1B2D" w:rsidTr="009334AB">
        <w:trPr>
          <w:gridAfter w:val="1"/>
          <w:divId w:val="411899501"/>
          <w:wAfter w:w="236" w:type="dxa"/>
          <w:trHeight w:val="306"/>
        </w:trPr>
        <w:tc>
          <w:tcPr>
            <w:tcW w:w="2170" w:type="dxa"/>
            <w:tcBorders>
              <w:top w:val="nil"/>
              <w:left w:val="nil"/>
              <w:bottom w:val="nil"/>
              <w:right w:val="nil"/>
            </w:tcBorders>
            <w:shd w:val="clear" w:color="auto" w:fill="auto"/>
            <w:noWrap/>
            <w:vAlign w:val="bottom"/>
            <w:hideMark/>
          </w:tcPr>
          <w:p w:rsidR="009334AB" w:rsidRPr="003B1B2D" w:rsidRDefault="009334AB" w:rsidP="006A44C0">
            <w:pPr>
              <w:jc w:val="left"/>
              <w:rPr>
                <w:rFonts w:ascii="Calibri" w:hAnsi="Calibri" w:cs="Arial"/>
                <w:lang w:eastAsia="en-GB"/>
              </w:rPr>
            </w:pPr>
          </w:p>
        </w:tc>
        <w:tc>
          <w:tcPr>
            <w:tcW w:w="764" w:type="dxa"/>
            <w:gridSpan w:val="3"/>
            <w:tcBorders>
              <w:top w:val="nil"/>
              <w:left w:val="nil"/>
              <w:bottom w:val="nil"/>
              <w:right w:val="nil"/>
            </w:tcBorders>
            <w:shd w:val="clear" w:color="auto" w:fill="auto"/>
            <w:noWrap/>
            <w:vAlign w:val="bottom"/>
            <w:hideMark/>
          </w:tcPr>
          <w:p w:rsidR="009334AB" w:rsidRPr="003B1B2D" w:rsidRDefault="009334AB" w:rsidP="006A44C0">
            <w:pPr>
              <w:jc w:val="left"/>
              <w:rPr>
                <w:rFonts w:ascii="Calibri" w:hAnsi="Calibri" w:cs="Arial"/>
                <w:lang w:eastAsia="en-GB"/>
              </w:rPr>
            </w:pPr>
          </w:p>
        </w:tc>
        <w:tc>
          <w:tcPr>
            <w:tcW w:w="894" w:type="dxa"/>
            <w:tcBorders>
              <w:top w:val="nil"/>
              <w:left w:val="nil"/>
              <w:bottom w:val="single" w:sz="4" w:space="0" w:color="auto"/>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w:t>
            </w:r>
          </w:p>
        </w:tc>
        <w:tc>
          <w:tcPr>
            <w:tcW w:w="1333" w:type="dxa"/>
            <w:gridSpan w:val="2"/>
            <w:tcBorders>
              <w:top w:val="nil"/>
              <w:left w:val="nil"/>
              <w:bottom w:val="single" w:sz="4" w:space="0" w:color="auto"/>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w:t>
            </w:r>
          </w:p>
        </w:tc>
        <w:tc>
          <w:tcPr>
            <w:tcW w:w="895" w:type="dxa"/>
            <w:gridSpan w:val="2"/>
            <w:tcBorders>
              <w:top w:val="nil"/>
              <w:left w:val="nil"/>
              <w:bottom w:val="single" w:sz="4" w:space="0" w:color="auto"/>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w:t>
            </w:r>
          </w:p>
        </w:tc>
        <w:tc>
          <w:tcPr>
            <w:tcW w:w="978" w:type="dxa"/>
            <w:gridSpan w:val="2"/>
            <w:tcBorders>
              <w:top w:val="nil"/>
              <w:left w:val="nil"/>
              <w:bottom w:val="single" w:sz="4" w:space="0" w:color="auto"/>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w:t>
            </w:r>
          </w:p>
        </w:tc>
        <w:tc>
          <w:tcPr>
            <w:tcW w:w="1274" w:type="dxa"/>
            <w:gridSpan w:val="2"/>
            <w:tcBorders>
              <w:top w:val="nil"/>
              <w:left w:val="nil"/>
              <w:bottom w:val="single" w:sz="4" w:space="0" w:color="auto"/>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w:t>
            </w:r>
          </w:p>
        </w:tc>
        <w:tc>
          <w:tcPr>
            <w:tcW w:w="1209" w:type="dxa"/>
            <w:gridSpan w:val="2"/>
            <w:tcBorders>
              <w:top w:val="nil"/>
              <w:left w:val="nil"/>
              <w:bottom w:val="single" w:sz="4" w:space="0" w:color="auto"/>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w:t>
            </w:r>
          </w:p>
        </w:tc>
        <w:tc>
          <w:tcPr>
            <w:tcW w:w="1193" w:type="dxa"/>
            <w:tcBorders>
              <w:top w:val="nil"/>
              <w:left w:val="nil"/>
              <w:bottom w:val="single" w:sz="4" w:space="0" w:color="auto"/>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w:t>
            </w:r>
          </w:p>
        </w:tc>
      </w:tr>
      <w:tr w:rsidR="009334AB" w:rsidRPr="003B1B2D" w:rsidTr="009334AB">
        <w:trPr>
          <w:gridAfter w:val="1"/>
          <w:divId w:val="411899501"/>
          <w:wAfter w:w="236" w:type="dxa"/>
          <w:trHeight w:val="350"/>
        </w:trPr>
        <w:tc>
          <w:tcPr>
            <w:tcW w:w="2934" w:type="dxa"/>
            <w:gridSpan w:val="4"/>
            <w:tcBorders>
              <w:top w:val="nil"/>
              <w:left w:val="nil"/>
              <w:bottom w:val="nil"/>
              <w:right w:val="nil"/>
            </w:tcBorders>
            <w:shd w:val="clear" w:color="auto" w:fill="auto"/>
            <w:vAlign w:val="bottom"/>
            <w:hideMark/>
          </w:tcPr>
          <w:p w:rsidR="009334AB" w:rsidRPr="003B1B2D" w:rsidRDefault="009334AB" w:rsidP="006A44C0">
            <w:pPr>
              <w:jc w:val="left"/>
              <w:rPr>
                <w:rFonts w:ascii="Calibri" w:hAnsi="Calibri" w:cs="Arial"/>
                <w:lang w:eastAsia="en-GB"/>
              </w:rPr>
            </w:pPr>
            <w:r w:rsidRPr="003B1B2D">
              <w:rPr>
                <w:rFonts w:ascii="Calibri" w:hAnsi="Calibri" w:cs="Arial"/>
                <w:lang w:eastAsia="en-GB"/>
              </w:rPr>
              <w:t>Total comprehensive  income</w:t>
            </w:r>
          </w:p>
        </w:tc>
        <w:tc>
          <w:tcPr>
            <w:tcW w:w="894" w:type="dxa"/>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1333"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895"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978"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1274"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w:t>
            </w:r>
            <w:r>
              <w:rPr>
                <w:rFonts w:ascii="Calibri" w:hAnsi="Calibri" w:cs="Arial"/>
                <w:lang w:eastAsia="en-GB"/>
              </w:rPr>
              <w:t>(</w:t>
            </w:r>
            <w:r w:rsidRPr="003B1B2D">
              <w:rPr>
                <w:rFonts w:ascii="Calibri" w:hAnsi="Calibri" w:cs="Arial"/>
                <w:lang w:eastAsia="en-GB"/>
              </w:rPr>
              <w:t>1</w:t>
            </w:r>
            <w:r>
              <w:rPr>
                <w:rFonts w:ascii="Calibri" w:hAnsi="Calibri" w:cs="Arial"/>
                <w:lang w:eastAsia="en-GB"/>
              </w:rPr>
              <w:t>,128)</w:t>
            </w:r>
            <w:r w:rsidRPr="003B1B2D">
              <w:rPr>
                <w:rFonts w:ascii="Calibri" w:hAnsi="Calibri" w:cs="Arial"/>
                <w:lang w:eastAsia="en-GB"/>
              </w:rPr>
              <w:t xml:space="preserve"> </w:t>
            </w:r>
          </w:p>
        </w:tc>
        <w:tc>
          <w:tcPr>
            <w:tcW w:w="1209"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Pr>
                <w:rFonts w:ascii="Calibri" w:hAnsi="Calibri" w:cs="Arial"/>
                <w:lang w:eastAsia="en-GB"/>
              </w:rPr>
              <w:t>2,201</w:t>
            </w:r>
          </w:p>
        </w:tc>
        <w:tc>
          <w:tcPr>
            <w:tcW w:w="1193" w:type="dxa"/>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Pr>
                <w:rFonts w:ascii="Calibri" w:hAnsi="Calibri" w:cs="Arial"/>
                <w:lang w:eastAsia="en-GB"/>
              </w:rPr>
              <w:t>1,073</w:t>
            </w:r>
          </w:p>
        </w:tc>
      </w:tr>
      <w:tr w:rsidR="009334AB" w:rsidRPr="003B1B2D" w:rsidTr="009334AB">
        <w:trPr>
          <w:gridAfter w:val="1"/>
          <w:divId w:val="411899501"/>
          <w:wAfter w:w="236" w:type="dxa"/>
          <w:trHeight w:val="306"/>
        </w:trPr>
        <w:tc>
          <w:tcPr>
            <w:tcW w:w="2934" w:type="dxa"/>
            <w:gridSpan w:val="4"/>
            <w:tcBorders>
              <w:top w:val="nil"/>
              <w:left w:val="nil"/>
              <w:bottom w:val="nil"/>
              <w:right w:val="nil"/>
            </w:tcBorders>
            <w:shd w:val="clear" w:color="auto" w:fill="auto"/>
            <w:noWrap/>
            <w:vAlign w:val="bottom"/>
            <w:hideMark/>
          </w:tcPr>
          <w:p w:rsidR="009334AB" w:rsidRPr="003B1B2D" w:rsidRDefault="009334AB" w:rsidP="006A44C0">
            <w:pPr>
              <w:jc w:val="left"/>
              <w:rPr>
                <w:rFonts w:ascii="Calibri" w:hAnsi="Calibri" w:cs="Arial"/>
                <w:lang w:eastAsia="en-GB"/>
              </w:rPr>
            </w:pPr>
            <w:r w:rsidRPr="003B1B2D">
              <w:rPr>
                <w:rFonts w:ascii="Calibri" w:hAnsi="Calibri" w:cs="Arial"/>
                <w:lang w:eastAsia="en-GB"/>
              </w:rPr>
              <w:t>Share based payment</w:t>
            </w:r>
          </w:p>
        </w:tc>
        <w:tc>
          <w:tcPr>
            <w:tcW w:w="894" w:type="dxa"/>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1333"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3</w:t>
            </w:r>
            <w:r>
              <w:rPr>
                <w:rFonts w:ascii="Calibri" w:hAnsi="Calibri" w:cs="Arial"/>
                <w:lang w:eastAsia="en-GB"/>
              </w:rPr>
              <w:t>3</w:t>
            </w:r>
            <w:r w:rsidRPr="003B1B2D">
              <w:rPr>
                <w:rFonts w:ascii="Calibri" w:hAnsi="Calibri" w:cs="Arial"/>
                <w:lang w:eastAsia="en-GB"/>
              </w:rPr>
              <w:t xml:space="preserve"> </w:t>
            </w:r>
          </w:p>
        </w:tc>
        <w:tc>
          <w:tcPr>
            <w:tcW w:w="895"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978"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1274"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1209"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1193" w:type="dxa"/>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Pr>
                <w:rFonts w:ascii="Calibri" w:hAnsi="Calibri" w:cs="Arial"/>
                <w:lang w:eastAsia="en-GB"/>
              </w:rPr>
              <w:t>33</w:t>
            </w:r>
          </w:p>
        </w:tc>
      </w:tr>
      <w:tr w:rsidR="009334AB" w:rsidRPr="003B1B2D" w:rsidTr="009334AB">
        <w:trPr>
          <w:gridAfter w:val="1"/>
          <w:divId w:val="411899501"/>
          <w:wAfter w:w="236" w:type="dxa"/>
          <w:trHeight w:val="306"/>
        </w:trPr>
        <w:tc>
          <w:tcPr>
            <w:tcW w:w="2934" w:type="dxa"/>
            <w:gridSpan w:val="4"/>
            <w:tcBorders>
              <w:top w:val="nil"/>
              <w:left w:val="nil"/>
              <w:bottom w:val="nil"/>
              <w:right w:val="nil"/>
            </w:tcBorders>
            <w:shd w:val="clear" w:color="auto" w:fill="auto"/>
            <w:noWrap/>
            <w:vAlign w:val="bottom"/>
            <w:hideMark/>
          </w:tcPr>
          <w:p w:rsidR="009334AB" w:rsidRPr="003B1B2D" w:rsidRDefault="009334AB" w:rsidP="006A44C0">
            <w:pPr>
              <w:jc w:val="left"/>
              <w:rPr>
                <w:rFonts w:ascii="Calibri" w:hAnsi="Calibri" w:cs="Arial"/>
                <w:lang w:eastAsia="en-GB"/>
              </w:rPr>
            </w:pPr>
            <w:r w:rsidRPr="003B1B2D">
              <w:rPr>
                <w:rFonts w:ascii="Calibri" w:hAnsi="Calibri" w:cs="Arial"/>
                <w:lang w:eastAsia="en-GB"/>
              </w:rPr>
              <w:t>Shares issued during the year</w:t>
            </w:r>
          </w:p>
        </w:tc>
        <w:tc>
          <w:tcPr>
            <w:tcW w:w="894" w:type="dxa"/>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w:t>
            </w:r>
            <w:r>
              <w:rPr>
                <w:rFonts w:ascii="Calibri" w:hAnsi="Calibri" w:cs="Arial"/>
                <w:lang w:eastAsia="en-GB"/>
              </w:rPr>
              <w:t>85</w:t>
            </w:r>
            <w:r w:rsidRPr="003B1B2D">
              <w:rPr>
                <w:rFonts w:ascii="Calibri" w:hAnsi="Calibri" w:cs="Arial"/>
                <w:lang w:eastAsia="en-GB"/>
              </w:rPr>
              <w:t xml:space="preserve"> </w:t>
            </w:r>
          </w:p>
        </w:tc>
        <w:tc>
          <w:tcPr>
            <w:tcW w:w="1333"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895"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978"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Pr>
                <w:rFonts w:ascii="Calibri" w:hAnsi="Calibri" w:cs="Arial"/>
                <w:lang w:eastAsia="en-GB"/>
              </w:rPr>
              <w:t>-</w:t>
            </w:r>
          </w:p>
        </w:tc>
        <w:tc>
          <w:tcPr>
            <w:tcW w:w="1274"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1209"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1193" w:type="dxa"/>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Pr>
                <w:rFonts w:ascii="Calibri" w:hAnsi="Calibri" w:cs="Arial"/>
                <w:lang w:eastAsia="en-GB"/>
              </w:rPr>
              <w:t>85</w:t>
            </w:r>
          </w:p>
        </w:tc>
      </w:tr>
      <w:tr w:rsidR="009334AB" w:rsidRPr="003B1B2D" w:rsidTr="009334AB">
        <w:trPr>
          <w:gridAfter w:val="1"/>
          <w:divId w:val="411899501"/>
          <w:wAfter w:w="236" w:type="dxa"/>
          <w:trHeight w:val="306"/>
        </w:trPr>
        <w:tc>
          <w:tcPr>
            <w:tcW w:w="2934" w:type="dxa"/>
            <w:gridSpan w:val="4"/>
            <w:tcBorders>
              <w:top w:val="nil"/>
              <w:left w:val="nil"/>
              <w:bottom w:val="nil"/>
              <w:right w:val="nil"/>
            </w:tcBorders>
            <w:shd w:val="clear" w:color="auto" w:fill="auto"/>
            <w:noWrap/>
            <w:vAlign w:val="bottom"/>
            <w:hideMark/>
          </w:tcPr>
          <w:p w:rsidR="009334AB" w:rsidRPr="003B1B2D" w:rsidRDefault="009334AB" w:rsidP="006A44C0">
            <w:pPr>
              <w:jc w:val="left"/>
              <w:rPr>
                <w:rFonts w:ascii="Calibri" w:hAnsi="Calibri" w:cs="Arial"/>
                <w:lang w:eastAsia="en-GB"/>
              </w:rPr>
            </w:pPr>
            <w:r w:rsidRPr="003B1B2D">
              <w:rPr>
                <w:rFonts w:ascii="Calibri" w:hAnsi="Calibri" w:cs="Arial"/>
                <w:lang w:eastAsia="en-GB"/>
              </w:rPr>
              <w:t>Transfer to retained earnings</w:t>
            </w:r>
          </w:p>
        </w:tc>
        <w:tc>
          <w:tcPr>
            <w:tcW w:w="894" w:type="dxa"/>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1333"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w:t>
            </w:r>
            <w:r>
              <w:rPr>
                <w:rFonts w:ascii="Calibri" w:hAnsi="Calibri" w:cs="Arial"/>
                <w:lang w:eastAsia="en-GB"/>
              </w:rPr>
              <w:t>(231)</w:t>
            </w:r>
            <w:r w:rsidRPr="003B1B2D">
              <w:rPr>
                <w:rFonts w:ascii="Calibri" w:hAnsi="Calibri" w:cs="Arial"/>
                <w:lang w:eastAsia="en-GB"/>
              </w:rPr>
              <w:t xml:space="preserve">  </w:t>
            </w:r>
          </w:p>
        </w:tc>
        <w:tc>
          <w:tcPr>
            <w:tcW w:w="895"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978"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c>
          <w:tcPr>
            <w:tcW w:w="1274"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Pr>
                <w:rFonts w:ascii="Calibri" w:hAnsi="Calibri" w:cs="Arial"/>
                <w:lang w:eastAsia="en-GB"/>
              </w:rPr>
              <w:t>(42)</w:t>
            </w:r>
          </w:p>
        </w:tc>
        <w:tc>
          <w:tcPr>
            <w:tcW w:w="1209" w:type="dxa"/>
            <w:gridSpan w:val="2"/>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Pr>
                <w:rFonts w:ascii="Calibri" w:hAnsi="Calibri" w:cs="Arial"/>
                <w:lang w:eastAsia="en-GB"/>
              </w:rPr>
              <w:t>273</w:t>
            </w:r>
          </w:p>
        </w:tc>
        <w:tc>
          <w:tcPr>
            <w:tcW w:w="1193" w:type="dxa"/>
            <w:tcBorders>
              <w:top w:val="nil"/>
              <w:left w:val="nil"/>
              <w:bottom w:val="nil"/>
              <w:right w:val="nil"/>
            </w:tcBorders>
            <w:shd w:val="clear" w:color="auto" w:fill="auto"/>
            <w:noWrap/>
            <w:vAlign w:val="bottom"/>
            <w:hideMark/>
          </w:tcPr>
          <w:p w:rsidR="009334AB" w:rsidRPr="003B1B2D" w:rsidRDefault="009334AB" w:rsidP="007758A3">
            <w:pPr>
              <w:jc w:val="right"/>
              <w:rPr>
                <w:rFonts w:ascii="Calibri" w:hAnsi="Calibri" w:cs="Arial"/>
                <w:lang w:eastAsia="en-GB"/>
              </w:rPr>
            </w:pPr>
            <w:r w:rsidRPr="003B1B2D">
              <w:rPr>
                <w:rFonts w:ascii="Calibri" w:hAnsi="Calibri" w:cs="Arial"/>
                <w:lang w:eastAsia="en-GB"/>
              </w:rPr>
              <w:t xml:space="preserve">              -   </w:t>
            </w:r>
          </w:p>
        </w:tc>
      </w:tr>
      <w:tr w:rsidR="009334AB" w:rsidRPr="003B1B2D" w:rsidTr="009334AB">
        <w:trPr>
          <w:gridAfter w:val="1"/>
          <w:divId w:val="411899501"/>
          <w:wAfter w:w="236" w:type="dxa"/>
          <w:trHeight w:val="306"/>
        </w:trPr>
        <w:tc>
          <w:tcPr>
            <w:tcW w:w="2934" w:type="dxa"/>
            <w:gridSpan w:val="4"/>
            <w:tcBorders>
              <w:top w:val="nil"/>
              <w:left w:val="nil"/>
              <w:bottom w:val="nil"/>
              <w:right w:val="nil"/>
            </w:tcBorders>
            <w:shd w:val="clear" w:color="auto" w:fill="auto"/>
            <w:noWrap/>
            <w:vAlign w:val="bottom"/>
          </w:tcPr>
          <w:p w:rsidR="009334AB" w:rsidRPr="003B1B2D" w:rsidRDefault="009334AB" w:rsidP="006A44C0">
            <w:pPr>
              <w:jc w:val="left"/>
              <w:rPr>
                <w:rFonts w:ascii="Calibri" w:hAnsi="Calibri" w:cs="Arial"/>
                <w:lang w:eastAsia="en-GB"/>
              </w:rPr>
            </w:pPr>
            <w:r>
              <w:rPr>
                <w:rFonts w:ascii="Calibri" w:hAnsi="Calibri" w:cs="Arial"/>
                <w:lang w:eastAsia="en-GB"/>
              </w:rPr>
              <w:t>Reclassification*</w:t>
            </w:r>
          </w:p>
        </w:tc>
        <w:tc>
          <w:tcPr>
            <w:tcW w:w="894" w:type="dxa"/>
            <w:tcBorders>
              <w:top w:val="nil"/>
              <w:left w:val="nil"/>
              <w:bottom w:val="nil"/>
              <w:right w:val="nil"/>
            </w:tcBorders>
            <w:shd w:val="clear" w:color="auto" w:fill="auto"/>
            <w:noWrap/>
            <w:vAlign w:val="bottom"/>
          </w:tcPr>
          <w:p w:rsidR="009334AB" w:rsidRPr="003B1B2D" w:rsidRDefault="009334AB" w:rsidP="007758A3">
            <w:pPr>
              <w:jc w:val="right"/>
              <w:rPr>
                <w:rFonts w:ascii="Calibri" w:hAnsi="Calibri" w:cs="Arial"/>
                <w:lang w:eastAsia="en-GB"/>
              </w:rPr>
            </w:pPr>
            <w:r>
              <w:rPr>
                <w:rFonts w:ascii="Calibri" w:hAnsi="Calibri" w:cs="Arial"/>
                <w:lang w:eastAsia="en-GB"/>
              </w:rPr>
              <w:t>-</w:t>
            </w:r>
          </w:p>
        </w:tc>
        <w:tc>
          <w:tcPr>
            <w:tcW w:w="1333" w:type="dxa"/>
            <w:gridSpan w:val="2"/>
            <w:tcBorders>
              <w:top w:val="nil"/>
              <w:left w:val="nil"/>
              <w:bottom w:val="nil"/>
              <w:right w:val="nil"/>
            </w:tcBorders>
            <w:shd w:val="clear" w:color="auto" w:fill="auto"/>
            <w:noWrap/>
            <w:vAlign w:val="bottom"/>
          </w:tcPr>
          <w:p w:rsidR="009334AB" w:rsidRPr="003B1B2D" w:rsidRDefault="009334AB" w:rsidP="007758A3">
            <w:pPr>
              <w:jc w:val="right"/>
              <w:rPr>
                <w:rFonts w:ascii="Calibri" w:hAnsi="Calibri" w:cs="Arial"/>
                <w:lang w:eastAsia="en-GB"/>
              </w:rPr>
            </w:pPr>
            <w:r>
              <w:rPr>
                <w:rFonts w:ascii="Calibri" w:hAnsi="Calibri" w:cs="Arial"/>
                <w:lang w:eastAsia="en-GB"/>
              </w:rPr>
              <w:t>-</w:t>
            </w:r>
          </w:p>
        </w:tc>
        <w:tc>
          <w:tcPr>
            <w:tcW w:w="895" w:type="dxa"/>
            <w:gridSpan w:val="2"/>
            <w:tcBorders>
              <w:top w:val="nil"/>
              <w:left w:val="nil"/>
              <w:bottom w:val="nil"/>
              <w:right w:val="nil"/>
            </w:tcBorders>
            <w:shd w:val="clear" w:color="auto" w:fill="auto"/>
            <w:noWrap/>
            <w:vAlign w:val="bottom"/>
          </w:tcPr>
          <w:p w:rsidR="009334AB" w:rsidRPr="003B1B2D" w:rsidRDefault="009334AB" w:rsidP="007758A3">
            <w:pPr>
              <w:jc w:val="right"/>
              <w:rPr>
                <w:rFonts w:ascii="Calibri" w:hAnsi="Calibri" w:cs="Arial"/>
                <w:lang w:eastAsia="en-GB"/>
              </w:rPr>
            </w:pPr>
            <w:r>
              <w:rPr>
                <w:rFonts w:ascii="Calibri" w:hAnsi="Calibri" w:cs="Arial"/>
                <w:lang w:eastAsia="en-GB"/>
              </w:rPr>
              <w:t>-</w:t>
            </w:r>
          </w:p>
        </w:tc>
        <w:tc>
          <w:tcPr>
            <w:tcW w:w="978" w:type="dxa"/>
            <w:gridSpan w:val="2"/>
            <w:tcBorders>
              <w:top w:val="nil"/>
              <w:left w:val="nil"/>
              <w:bottom w:val="nil"/>
              <w:right w:val="nil"/>
            </w:tcBorders>
            <w:shd w:val="clear" w:color="auto" w:fill="auto"/>
            <w:noWrap/>
            <w:vAlign w:val="bottom"/>
          </w:tcPr>
          <w:p w:rsidR="009334AB" w:rsidRPr="003B1B2D" w:rsidRDefault="009334AB" w:rsidP="007758A3">
            <w:pPr>
              <w:jc w:val="right"/>
              <w:rPr>
                <w:rFonts w:ascii="Calibri" w:hAnsi="Calibri" w:cs="Arial"/>
                <w:lang w:eastAsia="en-GB"/>
              </w:rPr>
            </w:pPr>
            <w:r>
              <w:rPr>
                <w:rFonts w:ascii="Calibri" w:hAnsi="Calibri" w:cs="Arial"/>
                <w:lang w:eastAsia="en-GB"/>
              </w:rPr>
              <w:t>-</w:t>
            </w:r>
          </w:p>
        </w:tc>
        <w:tc>
          <w:tcPr>
            <w:tcW w:w="1274" w:type="dxa"/>
            <w:gridSpan w:val="2"/>
            <w:tcBorders>
              <w:top w:val="nil"/>
              <w:left w:val="nil"/>
              <w:bottom w:val="nil"/>
              <w:right w:val="nil"/>
            </w:tcBorders>
            <w:shd w:val="clear" w:color="auto" w:fill="auto"/>
            <w:noWrap/>
            <w:vAlign w:val="bottom"/>
          </w:tcPr>
          <w:p w:rsidR="009334AB" w:rsidRDefault="009334AB" w:rsidP="007758A3">
            <w:pPr>
              <w:jc w:val="right"/>
              <w:rPr>
                <w:rFonts w:ascii="Calibri" w:hAnsi="Calibri" w:cs="Arial"/>
                <w:lang w:eastAsia="en-GB"/>
              </w:rPr>
            </w:pPr>
            <w:r>
              <w:rPr>
                <w:rFonts w:ascii="Calibri" w:hAnsi="Calibri" w:cs="Arial"/>
                <w:lang w:eastAsia="en-GB"/>
              </w:rPr>
              <w:t>(2,032)</w:t>
            </w:r>
          </w:p>
        </w:tc>
        <w:tc>
          <w:tcPr>
            <w:tcW w:w="1209" w:type="dxa"/>
            <w:gridSpan w:val="2"/>
            <w:tcBorders>
              <w:top w:val="nil"/>
              <w:left w:val="nil"/>
              <w:bottom w:val="nil"/>
              <w:right w:val="nil"/>
            </w:tcBorders>
            <w:shd w:val="clear" w:color="auto" w:fill="auto"/>
            <w:noWrap/>
            <w:vAlign w:val="bottom"/>
          </w:tcPr>
          <w:p w:rsidR="009334AB" w:rsidRDefault="009334AB" w:rsidP="007758A3">
            <w:pPr>
              <w:jc w:val="right"/>
              <w:rPr>
                <w:rFonts w:ascii="Calibri" w:hAnsi="Calibri" w:cs="Arial"/>
                <w:lang w:eastAsia="en-GB"/>
              </w:rPr>
            </w:pPr>
            <w:r>
              <w:rPr>
                <w:rFonts w:ascii="Calibri" w:hAnsi="Calibri" w:cs="Arial"/>
                <w:lang w:eastAsia="en-GB"/>
              </w:rPr>
              <w:t>2032</w:t>
            </w:r>
          </w:p>
        </w:tc>
        <w:tc>
          <w:tcPr>
            <w:tcW w:w="1193" w:type="dxa"/>
            <w:tcBorders>
              <w:top w:val="nil"/>
              <w:left w:val="nil"/>
              <w:bottom w:val="nil"/>
              <w:right w:val="nil"/>
            </w:tcBorders>
            <w:shd w:val="clear" w:color="auto" w:fill="auto"/>
            <w:noWrap/>
            <w:vAlign w:val="bottom"/>
          </w:tcPr>
          <w:p w:rsidR="009334AB" w:rsidRPr="003B1B2D" w:rsidRDefault="009334AB" w:rsidP="007758A3">
            <w:pPr>
              <w:jc w:val="right"/>
              <w:rPr>
                <w:rFonts w:ascii="Calibri" w:hAnsi="Calibri" w:cs="Arial"/>
                <w:lang w:eastAsia="en-GB"/>
              </w:rPr>
            </w:pPr>
            <w:r>
              <w:rPr>
                <w:rFonts w:ascii="Calibri" w:hAnsi="Calibri" w:cs="Arial"/>
                <w:lang w:eastAsia="en-GB"/>
              </w:rPr>
              <w:t>-</w:t>
            </w:r>
          </w:p>
        </w:tc>
      </w:tr>
      <w:tr w:rsidR="009334AB" w:rsidRPr="003B1B2D" w:rsidTr="009334AB">
        <w:trPr>
          <w:gridAfter w:val="1"/>
          <w:divId w:val="411899501"/>
          <w:wAfter w:w="236" w:type="dxa"/>
          <w:trHeight w:val="306"/>
        </w:trPr>
        <w:tc>
          <w:tcPr>
            <w:tcW w:w="2170" w:type="dxa"/>
            <w:tcBorders>
              <w:top w:val="nil"/>
              <w:left w:val="nil"/>
              <w:bottom w:val="nil"/>
              <w:right w:val="nil"/>
            </w:tcBorders>
            <w:shd w:val="clear" w:color="auto" w:fill="auto"/>
            <w:noWrap/>
            <w:vAlign w:val="bottom"/>
            <w:hideMark/>
          </w:tcPr>
          <w:p w:rsidR="009334AB" w:rsidRPr="003B1B2D" w:rsidRDefault="009334AB" w:rsidP="006A44C0">
            <w:pPr>
              <w:jc w:val="left"/>
              <w:rPr>
                <w:rFonts w:ascii="Calibri" w:hAnsi="Calibri" w:cs="Arial"/>
                <w:b/>
                <w:bCs/>
                <w:lang w:eastAsia="en-GB"/>
              </w:rPr>
            </w:pPr>
          </w:p>
        </w:tc>
        <w:tc>
          <w:tcPr>
            <w:tcW w:w="764" w:type="dxa"/>
            <w:gridSpan w:val="3"/>
            <w:tcBorders>
              <w:top w:val="nil"/>
              <w:left w:val="nil"/>
              <w:bottom w:val="nil"/>
              <w:right w:val="nil"/>
            </w:tcBorders>
            <w:shd w:val="clear" w:color="auto" w:fill="auto"/>
            <w:noWrap/>
            <w:vAlign w:val="bottom"/>
            <w:hideMark/>
          </w:tcPr>
          <w:p w:rsidR="009334AB" w:rsidRPr="003B1B2D" w:rsidRDefault="009334AB" w:rsidP="006A44C0">
            <w:pPr>
              <w:jc w:val="left"/>
              <w:rPr>
                <w:rFonts w:ascii="Calibri" w:hAnsi="Calibri" w:cs="Arial"/>
                <w:lang w:eastAsia="en-GB"/>
              </w:rPr>
            </w:pPr>
          </w:p>
        </w:tc>
        <w:tc>
          <w:tcPr>
            <w:tcW w:w="894" w:type="dxa"/>
            <w:tcBorders>
              <w:top w:val="nil"/>
              <w:left w:val="nil"/>
              <w:bottom w:val="nil"/>
              <w:right w:val="nil"/>
            </w:tcBorders>
            <w:shd w:val="clear" w:color="auto" w:fill="auto"/>
            <w:noWrap/>
            <w:vAlign w:val="bottom"/>
            <w:hideMark/>
          </w:tcPr>
          <w:p w:rsidR="009334AB" w:rsidRPr="003B1B2D" w:rsidRDefault="009334AB" w:rsidP="00387232">
            <w:pPr>
              <w:jc w:val="right"/>
              <w:rPr>
                <w:rFonts w:ascii="Calibri" w:hAnsi="Calibri" w:cs="Arial"/>
                <w:lang w:eastAsia="en-GB"/>
              </w:rPr>
            </w:pPr>
          </w:p>
        </w:tc>
        <w:tc>
          <w:tcPr>
            <w:tcW w:w="1333" w:type="dxa"/>
            <w:gridSpan w:val="2"/>
            <w:tcBorders>
              <w:top w:val="nil"/>
              <w:left w:val="nil"/>
              <w:bottom w:val="nil"/>
              <w:right w:val="nil"/>
            </w:tcBorders>
            <w:shd w:val="clear" w:color="auto" w:fill="auto"/>
            <w:noWrap/>
            <w:vAlign w:val="bottom"/>
            <w:hideMark/>
          </w:tcPr>
          <w:p w:rsidR="009334AB" w:rsidRPr="003B1B2D" w:rsidRDefault="009334AB" w:rsidP="00387232">
            <w:pPr>
              <w:jc w:val="right"/>
              <w:rPr>
                <w:rFonts w:ascii="Calibri" w:hAnsi="Calibri" w:cs="Arial"/>
                <w:lang w:eastAsia="en-GB"/>
              </w:rPr>
            </w:pPr>
          </w:p>
        </w:tc>
        <w:tc>
          <w:tcPr>
            <w:tcW w:w="895" w:type="dxa"/>
            <w:gridSpan w:val="2"/>
            <w:tcBorders>
              <w:top w:val="nil"/>
              <w:left w:val="nil"/>
              <w:bottom w:val="nil"/>
              <w:right w:val="nil"/>
            </w:tcBorders>
            <w:shd w:val="clear" w:color="auto" w:fill="auto"/>
            <w:noWrap/>
            <w:vAlign w:val="bottom"/>
            <w:hideMark/>
          </w:tcPr>
          <w:p w:rsidR="009334AB" w:rsidRPr="003B1B2D" w:rsidRDefault="009334AB" w:rsidP="00387232">
            <w:pPr>
              <w:jc w:val="right"/>
              <w:rPr>
                <w:rFonts w:ascii="Calibri" w:hAnsi="Calibri" w:cs="Arial"/>
                <w:lang w:eastAsia="en-GB"/>
              </w:rPr>
            </w:pPr>
          </w:p>
        </w:tc>
        <w:tc>
          <w:tcPr>
            <w:tcW w:w="978" w:type="dxa"/>
            <w:gridSpan w:val="2"/>
            <w:tcBorders>
              <w:top w:val="nil"/>
              <w:left w:val="nil"/>
              <w:bottom w:val="nil"/>
              <w:right w:val="nil"/>
            </w:tcBorders>
            <w:shd w:val="clear" w:color="auto" w:fill="auto"/>
            <w:noWrap/>
            <w:vAlign w:val="bottom"/>
            <w:hideMark/>
          </w:tcPr>
          <w:p w:rsidR="009334AB" w:rsidRPr="003B1B2D" w:rsidRDefault="009334AB" w:rsidP="00387232">
            <w:pPr>
              <w:jc w:val="right"/>
              <w:rPr>
                <w:rFonts w:ascii="Calibri" w:hAnsi="Calibri" w:cs="Arial"/>
                <w:lang w:eastAsia="en-GB"/>
              </w:rPr>
            </w:pPr>
          </w:p>
        </w:tc>
        <w:tc>
          <w:tcPr>
            <w:tcW w:w="1274" w:type="dxa"/>
            <w:gridSpan w:val="2"/>
            <w:tcBorders>
              <w:top w:val="nil"/>
              <w:left w:val="nil"/>
              <w:bottom w:val="nil"/>
              <w:right w:val="nil"/>
            </w:tcBorders>
            <w:shd w:val="clear" w:color="auto" w:fill="auto"/>
            <w:noWrap/>
            <w:vAlign w:val="bottom"/>
            <w:hideMark/>
          </w:tcPr>
          <w:p w:rsidR="009334AB" w:rsidRPr="003B1B2D" w:rsidRDefault="009334AB" w:rsidP="00387232">
            <w:pPr>
              <w:jc w:val="right"/>
              <w:rPr>
                <w:rFonts w:ascii="Calibri" w:hAnsi="Calibri" w:cs="Arial"/>
                <w:lang w:eastAsia="en-GB"/>
              </w:rPr>
            </w:pPr>
          </w:p>
        </w:tc>
        <w:tc>
          <w:tcPr>
            <w:tcW w:w="1209" w:type="dxa"/>
            <w:gridSpan w:val="2"/>
            <w:tcBorders>
              <w:top w:val="nil"/>
              <w:left w:val="nil"/>
              <w:bottom w:val="nil"/>
              <w:right w:val="nil"/>
            </w:tcBorders>
            <w:shd w:val="clear" w:color="auto" w:fill="auto"/>
            <w:noWrap/>
            <w:vAlign w:val="bottom"/>
            <w:hideMark/>
          </w:tcPr>
          <w:p w:rsidR="009334AB" w:rsidRPr="003B1B2D" w:rsidRDefault="009334AB" w:rsidP="00387232">
            <w:pPr>
              <w:jc w:val="right"/>
              <w:rPr>
                <w:rFonts w:ascii="Calibri" w:hAnsi="Calibri" w:cs="Arial"/>
                <w:lang w:eastAsia="en-GB"/>
              </w:rPr>
            </w:pPr>
          </w:p>
        </w:tc>
        <w:tc>
          <w:tcPr>
            <w:tcW w:w="1193" w:type="dxa"/>
            <w:tcBorders>
              <w:top w:val="nil"/>
              <w:left w:val="nil"/>
              <w:bottom w:val="nil"/>
              <w:right w:val="nil"/>
            </w:tcBorders>
            <w:shd w:val="clear" w:color="auto" w:fill="auto"/>
            <w:noWrap/>
            <w:vAlign w:val="bottom"/>
            <w:hideMark/>
          </w:tcPr>
          <w:p w:rsidR="009334AB" w:rsidRPr="003B1B2D" w:rsidRDefault="009334AB" w:rsidP="00387232">
            <w:pPr>
              <w:jc w:val="right"/>
              <w:rPr>
                <w:rFonts w:ascii="Calibri" w:hAnsi="Calibri" w:cs="Arial"/>
                <w:lang w:eastAsia="en-GB"/>
              </w:rPr>
            </w:pPr>
          </w:p>
        </w:tc>
      </w:tr>
      <w:tr w:rsidR="009334AB" w:rsidRPr="003B1B2D" w:rsidTr="009334AB">
        <w:trPr>
          <w:gridAfter w:val="1"/>
          <w:divId w:val="411899501"/>
          <w:wAfter w:w="236" w:type="dxa"/>
          <w:trHeight w:val="321"/>
        </w:trPr>
        <w:tc>
          <w:tcPr>
            <w:tcW w:w="2934" w:type="dxa"/>
            <w:gridSpan w:val="4"/>
            <w:tcBorders>
              <w:top w:val="nil"/>
              <w:left w:val="nil"/>
              <w:bottom w:val="nil"/>
              <w:right w:val="nil"/>
            </w:tcBorders>
            <w:shd w:val="clear" w:color="auto" w:fill="auto"/>
            <w:noWrap/>
            <w:vAlign w:val="bottom"/>
            <w:hideMark/>
          </w:tcPr>
          <w:p w:rsidR="009334AB" w:rsidRPr="003B1B2D" w:rsidRDefault="009334AB" w:rsidP="003B1B2D">
            <w:pPr>
              <w:jc w:val="left"/>
              <w:rPr>
                <w:rFonts w:ascii="Calibri" w:hAnsi="Calibri" w:cs="Arial"/>
                <w:b/>
                <w:bCs/>
                <w:lang w:eastAsia="en-GB"/>
              </w:rPr>
            </w:pPr>
            <w:r w:rsidRPr="003B1B2D">
              <w:rPr>
                <w:rFonts w:ascii="Calibri" w:hAnsi="Calibri" w:cs="Arial"/>
                <w:b/>
                <w:bCs/>
                <w:lang w:eastAsia="en-GB"/>
              </w:rPr>
              <w:t>As at 31 December 2014</w:t>
            </w:r>
          </w:p>
        </w:tc>
        <w:tc>
          <w:tcPr>
            <w:tcW w:w="894" w:type="dxa"/>
            <w:tcBorders>
              <w:top w:val="single" w:sz="4" w:space="0" w:color="auto"/>
              <w:left w:val="nil"/>
              <w:bottom w:val="single" w:sz="8" w:space="0" w:color="auto"/>
              <w:right w:val="nil"/>
            </w:tcBorders>
            <w:shd w:val="clear" w:color="auto" w:fill="auto"/>
            <w:noWrap/>
            <w:vAlign w:val="bottom"/>
            <w:hideMark/>
          </w:tcPr>
          <w:p w:rsidR="009334AB" w:rsidRPr="003B1B2D" w:rsidRDefault="009334AB" w:rsidP="001F5EAB">
            <w:pPr>
              <w:jc w:val="right"/>
              <w:rPr>
                <w:rFonts w:ascii="Calibri" w:hAnsi="Calibri" w:cs="Arial"/>
                <w:b/>
                <w:bCs/>
                <w:lang w:eastAsia="en-GB"/>
              </w:rPr>
            </w:pPr>
            <w:r>
              <w:rPr>
                <w:rFonts w:ascii="Calibri" w:hAnsi="Calibri" w:cs="Arial"/>
                <w:b/>
                <w:bCs/>
                <w:lang w:eastAsia="en-GB"/>
              </w:rPr>
              <w:t>16,247</w:t>
            </w:r>
          </w:p>
        </w:tc>
        <w:tc>
          <w:tcPr>
            <w:tcW w:w="1333" w:type="dxa"/>
            <w:gridSpan w:val="2"/>
            <w:tcBorders>
              <w:top w:val="single" w:sz="4" w:space="0" w:color="auto"/>
              <w:left w:val="nil"/>
              <w:bottom w:val="single" w:sz="8" w:space="0" w:color="auto"/>
              <w:right w:val="nil"/>
            </w:tcBorders>
            <w:shd w:val="clear" w:color="auto" w:fill="auto"/>
            <w:noWrap/>
            <w:vAlign w:val="bottom"/>
            <w:hideMark/>
          </w:tcPr>
          <w:p w:rsidR="009334AB" w:rsidRPr="003B1B2D" w:rsidRDefault="009334AB" w:rsidP="00387232">
            <w:pPr>
              <w:jc w:val="right"/>
              <w:rPr>
                <w:rFonts w:ascii="Calibri" w:hAnsi="Calibri" w:cs="Arial"/>
                <w:b/>
                <w:bCs/>
                <w:lang w:eastAsia="en-GB"/>
              </w:rPr>
            </w:pPr>
            <w:r>
              <w:rPr>
                <w:rFonts w:ascii="Calibri" w:hAnsi="Calibri" w:cs="Arial"/>
                <w:b/>
                <w:bCs/>
                <w:lang w:eastAsia="en-GB"/>
              </w:rPr>
              <w:t>48</w:t>
            </w:r>
          </w:p>
        </w:tc>
        <w:tc>
          <w:tcPr>
            <w:tcW w:w="895" w:type="dxa"/>
            <w:gridSpan w:val="2"/>
            <w:tcBorders>
              <w:top w:val="single" w:sz="4" w:space="0" w:color="auto"/>
              <w:left w:val="nil"/>
              <w:bottom w:val="single" w:sz="8" w:space="0" w:color="auto"/>
              <w:right w:val="nil"/>
            </w:tcBorders>
            <w:shd w:val="clear" w:color="auto" w:fill="auto"/>
            <w:noWrap/>
            <w:vAlign w:val="bottom"/>
            <w:hideMark/>
          </w:tcPr>
          <w:p w:rsidR="009334AB" w:rsidRPr="003B1B2D" w:rsidRDefault="009334AB" w:rsidP="00387232">
            <w:pPr>
              <w:jc w:val="right"/>
              <w:rPr>
                <w:rFonts w:ascii="Calibri" w:hAnsi="Calibri" w:cs="Arial"/>
                <w:b/>
                <w:bCs/>
                <w:lang w:eastAsia="en-GB"/>
              </w:rPr>
            </w:pPr>
            <w:r w:rsidRPr="003B1B2D">
              <w:rPr>
                <w:rFonts w:ascii="Calibri" w:hAnsi="Calibri" w:cs="Arial"/>
                <w:b/>
                <w:bCs/>
                <w:lang w:eastAsia="en-GB"/>
              </w:rPr>
              <w:t xml:space="preserve">979 </w:t>
            </w:r>
          </w:p>
        </w:tc>
        <w:tc>
          <w:tcPr>
            <w:tcW w:w="978" w:type="dxa"/>
            <w:gridSpan w:val="2"/>
            <w:tcBorders>
              <w:top w:val="single" w:sz="4" w:space="0" w:color="auto"/>
              <w:left w:val="nil"/>
              <w:bottom w:val="single" w:sz="8" w:space="0" w:color="auto"/>
              <w:right w:val="nil"/>
            </w:tcBorders>
            <w:shd w:val="clear" w:color="auto" w:fill="auto"/>
            <w:noWrap/>
            <w:vAlign w:val="bottom"/>
            <w:hideMark/>
          </w:tcPr>
          <w:p w:rsidR="009334AB" w:rsidRPr="003B1B2D" w:rsidRDefault="009334AB" w:rsidP="00387232">
            <w:pPr>
              <w:jc w:val="right"/>
              <w:rPr>
                <w:rFonts w:ascii="Calibri" w:hAnsi="Calibri" w:cs="Arial"/>
                <w:b/>
                <w:bCs/>
                <w:lang w:eastAsia="en-GB"/>
              </w:rPr>
            </w:pPr>
            <w:r w:rsidRPr="003B1B2D">
              <w:rPr>
                <w:rFonts w:ascii="Calibri" w:hAnsi="Calibri" w:cs="Arial"/>
                <w:b/>
                <w:bCs/>
                <w:lang w:eastAsia="en-GB"/>
              </w:rPr>
              <w:t>11,495</w:t>
            </w:r>
          </w:p>
        </w:tc>
        <w:tc>
          <w:tcPr>
            <w:tcW w:w="1274" w:type="dxa"/>
            <w:gridSpan w:val="2"/>
            <w:tcBorders>
              <w:top w:val="single" w:sz="4" w:space="0" w:color="auto"/>
              <w:left w:val="nil"/>
              <w:bottom w:val="single" w:sz="8" w:space="0" w:color="auto"/>
              <w:right w:val="nil"/>
            </w:tcBorders>
            <w:shd w:val="clear" w:color="auto" w:fill="auto"/>
            <w:noWrap/>
            <w:vAlign w:val="bottom"/>
            <w:hideMark/>
          </w:tcPr>
          <w:p w:rsidR="009334AB" w:rsidRPr="003B1B2D" w:rsidRDefault="009334AB" w:rsidP="00387232">
            <w:pPr>
              <w:jc w:val="right"/>
              <w:rPr>
                <w:rFonts w:ascii="Calibri" w:hAnsi="Calibri" w:cs="Arial"/>
                <w:b/>
                <w:bCs/>
                <w:lang w:eastAsia="en-GB"/>
              </w:rPr>
            </w:pPr>
            <w:r>
              <w:rPr>
                <w:rFonts w:ascii="Calibri" w:hAnsi="Calibri" w:cs="Arial"/>
                <w:b/>
                <w:bCs/>
                <w:lang w:eastAsia="en-GB"/>
              </w:rPr>
              <w:t>16,503</w:t>
            </w:r>
          </w:p>
        </w:tc>
        <w:tc>
          <w:tcPr>
            <w:tcW w:w="1209" w:type="dxa"/>
            <w:gridSpan w:val="2"/>
            <w:tcBorders>
              <w:top w:val="single" w:sz="4" w:space="0" w:color="auto"/>
              <w:left w:val="nil"/>
              <w:bottom w:val="single" w:sz="8" w:space="0" w:color="auto"/>
              <w:right w:val="nil"/>
            </w:tcBorders>
            <w:shd w:val="clear" w:color="auto" w:fill="auto"/>
            <w:noWrap/>
            <w:vAlign w:val="bottom"/>
            <w:hideMark/>
          </w:tcPr>
          <w:p w:rsidR="009334AB" w:rsidRPr="003B1B2D" w:rsidRDefault="009334AB" w:rsidP="00387232">
            <w:pPr>
              <w:jc w:val="right"/>
              <w:rPr>
                <w:rFonts w:ascii="Calibri" w:hAnsi="Calibri" w:cs="Arial"/>
                <w:b/>
                <w:bCs/>
                <w:lang w:eastAsia="en-GB"/>
              </w:rPr>
            </w:pPr>
            <w:r>
              <w:rPr>
                <w:rFonts w:ascii="Calibri" w:hAnsi="Calibri" w:cs="Arial"/>
                <w:b/>
                <w:bCs/>
                <w:lang w:eastAsia="en-GB"/>
              </w:rPr>
              <w:t>1,422</w:t>
            </w:r>
          </w:p>
        </w:tc>
        <w:tc>
          <w:tcPr>
            <w:tcW w:w="1193" w:type="dxa"/>
            <w:tcBorders>
              <w:top w:val="single" w:sz="4" w:space="0" w:color="auto"/>
              <w:left w:val="nil"/>
              <w:bottom w:val="single" w:sz="8" w:space="0" w:color="auto"/>
              <w:right w:val="nil"/>
            </w:tcBorders>
            <w:shd w:val="clear" w:color="auto" w:fill="auto"/>
            <w:noWrap/>
            <w:vAlign w:val="bottom"/>
            <w:hideMark/>
          </w:tcPr>
          <w:p w:rsidR="009334AB" w:rsidRPr="003B1B2D" w:rsidRDefault="009334AB" w:rsidP="00387232">
            <w:pPr>
              <w:jc w:val="right"/>
              <w:rPr>
                <w:rFonts w:ascii="Calibri" w:hAnsi="Calibri" w:cs="Arial"/>
                <w:b/>
                <w:bCs/>
                <w:lang w:eastAsia="en-GB"/>
              </w:rPr>
            </w:pPr>
            <w:r>
              <w:rPr>
                <w:rFonts w:ascii="Calibri" w:hAnsi="Calibri" w:cs="Arial"/>
                <w:b/>
                <w:bCs/>
                <w:lang w:eastAsia="en-GB"/>
              </w:rPr>
              <w:t>46,694</w:t>
            </w:r>
          </w:p>
        </w:tc>
      </w:tr>
      <w:tr w:rsidR="009334AB" w:rsidRPr="003B1B2D" w:rsidTr="009334AB">
        <w:trPr>
          <w:gridAfter w:val="1"/>
          <w:divId w:val="411899501"/>
          <w:wAfter w:w="236" w:type="dxa"/>
          <w:trHeight w:val="306"/>
        </w:trPr>
        <w:tc>
          <w:tcPr>
            <w:tcW w:w="2170" w:type="dxa"/>
            <w:tcBorders>
              <w:top w:val="nil"/>
              <w:left w:val="nil"/>
              <w:bottom w:val="nil"/>
              <w:right w:val="nil"/>
            </w:tcBorders>
            <w:shd w:val="clear" w:color="auto" w:fill="auto"/>
            <w:noWrap/>
            <w:vAlign w:val="bottom"/>
            <w:hideMark/>
          </w:tcPr>
          <w:p w:rsidR="009334AB" w:rsidRPr="003B1B2D" w:rsidRDefault="009334AB" w:rsidP="006A44C0">
            <w:pPr>
              <w:jc w:val="left"/>
              <w:rPr>
                <w:rFonts w:ascii="Calibri" w:hAnsi="Calibri" w:cs="Arial"/>
                <w:lang w:eastAsia="en-GB"/>
              </w:rPr>
            </w:pPr>
          </w:p>
        </w:tc>
        <w:tc>
          <w:tcPr>
            <w:tcW w:w="764" w:type="dxa"/>
            <w:gridSpan w:val="3"/>
            <w:tcBorders>
              <w:top w:val="nil"/>
              <w:left w:val="nil"/>
              <w:bottom w:val="nil"/>
              <w:right w:val="nil"/>
            </w:tcBorders>
            <w:shd w:val="clear" w:color="auto" w:fill="auto"/>
            <w:noWrap/>
            <w:vAlign w:val="bottom"/>
            <w:hideMark/>
          </w:tcPr>
          <w:p w:rsidR="009334AB" w:rsidRPr="003B1B2D" w:rsidRDefault="009334AB" w:rsidP="006A44C0">
            <w:pPr>
              <w:jc w:val="left"/>
              <w:rPr>
                <w:rFonts w:ascii="Calibri" w:hAnsi="Calibri" w:cs="Arial"/>
                <w:lang w:eastAsia="en-GB"/>
              </w:rPr>
            </w:pPr>
          </w:p>
        </w:tc>
        <w:tc>
          <w:tcPr>
            <w:tcW w:w="894" w:type="dxa"/>
            <w:tcBorders>
              <w:top w:val="nil"/>
              <w:left w:val="nil"/>
              <w:bottom w:val="nil"/>
              <w:right w:val="nil"/>
            </w:tcBorders>
            <w:shd w:val="clear" w:color="auto" w:fill="auto"/>
            <w:noWrap/>
            <w:vAlign w:val="bottom"/>
            <w:hideMark/>
          </w:tcPr>
          <w:p w:rsidR="009334AB" w:rsidRPr="003B1B2D" w:rsidRDefault="009334AB" w:rsidP="006A44C0">
            <w:pPr>
              <w:jc w:val="center"/>
              <w:rPr>
                <w:rFonts w:ascii="Calibri" w:hAnsi="Calibri" w:cs="Arial"/>
                <w:lang w:eastAsia="en-GB"/>
              </w:rPr>
            </w:pPr>
          </w:p>
        </w:tc>
        <w:tc>
          <w:tcPr>
            <w:tcW w:w="1333" w:type="dxa"/>
            <w:gridSpan w:val="2"/>
            <w:tcBorders>
              <w:top w:val="nil"/>
              <w:left w:val="nil"/>
              <w:bottom w:val="nil"/>
              <w:right w:val="nil"/>
            </w:tcBorders>
            <w:shd w:val="clear" w:color="auto" w:fill="auto"/>
            <w:noWrap/>
            <w:vAlign w:val="bottom"/>
            <w:hideMark/>
          </w:tcPr>
          <w:p w:rsidR="009334AB" w:rsidRPr="003B1B2D" w:rsidRDefault="009334AB" w:rsidP="006A44C0">
            <w:pPr>
              <w:jc w:val="center"/>
              <w:rPr>
                <w:rFonts w:ascii="Calibri" w:hAnsi="Calibri" w:cs="Arial"/>
                <w:lang w:eastAsia="en-GB"/>
              </w:rPr>
            </w:pPr>
          </w:p>
        </w:tc>
        <w:tc>
          <w:tcPr>
            <w:tcW w:w="895" w:type="dxa"/>
            <w:gridSpan w:val="2"/>
            <w:tcBorders>
              <w:top w:val="nil"/>
              <w:left w:val="nil"/>
              <w:bottom w:val="nil"/>
              <w:right w:val="nil"/>
            </w:tcBorders>
            <w:shd w:val="clear" w:color="auto" w:fill="auto"/>
            <w:noWrap/>
            <w:vAlign w:val="bottom"/>
            <w:hideMark/>
          </w:tcPr>
          <w:p w:rsidR="009334AB" w:rsidRPr="003B1B2D" w:rsidRDefault="009334AB" w:rsidP="006A44C0">
            <w:pPr>
              <w:jc w:val="center"/>
              <w:rPr>
                <w:rFonts w:ascii="Calibri" w:hAnsi="Calibri" w:cs="Arial"/>
                <w:lang w:eastAsia="en-GB"/>
              </w:rPr>
            </w:pPr>
          </w:p>
        </w:tc>
        <w:tc>
          <w:tcPr>
            <w:tcW w:w="978" w:type="dxa"/>
            <w:gridSpan w:val="2"/>
            <w:tcBorders>
              <w:top w:val="nil"/>
              <w:left w:val="nil"/>
              <w:bottom w:val="nil"/>
              <w:right w:val="nil"/>
            </w:tcBorders>
            <w:shd w:val="clear" w:color="auto" w:fill="auto"/>
            <w:noWrap/>
            <w:vAlign w:val="bottom"/>
            <w:hideMark/>
          </w:tcPr>
          <w:p w:rsidR="009334AB" w:rsidRPr="003B1B2D" w:rsidRDefault="009334AB" w:rsidP="006A44C0">
            <w:pPr>
              <w:jc w:val="center"/>
              <w:rPr>
                <w:rFonts w:ascii="Calibri" w:hAnsi="Calibri" w:cs="Arial"/>
                <w:lang w:eastAsia="en-GB"/>
              </w:rPr>
            </w:pPr>
          </w:p>
        </w:tc>
        <w:tc>
          <w:tcPr>
            <w:tcW w:w="1274" w:type="dxa"/>
            <w:gridSpan w:val="2"/>
            <w:tcBorders>
              <w:top w:val="nil"/>
              <w:left w:val="nil"/>
              <w:bottom w:val="nil"/>
              <w:right w:val="nil"/>
            </w:tcBorders>
            <w:shd w:val="clear" w:color="auto" w:fill="auto"/>
            <w:noWrap/>
            <w:vAlign w:val="bottom"/>
            <w:hideMark/>
          </w:tcPr>
          <w:p w:rsidR="009334AB" w:rsidRPr="003B1B2D" w:rsidRDefault="009334AB" w:rsidP="006A44C0">
            <w:pPr>
              <w:jc w:val="center"/>
              <w:rPr>
                <w:rFonts w:ascii="Calibri" w:hAnsi="Calibri" w:cs="Arial"/>
                <w:lang w:eastAsia="en-GB"/>
              </w:rPr>
            </w:pPr>
          </w:p>
        </w:tc>
        <w:tc>
          <w:tcPr>
            <w:tcW w:w="1209" w:type="dxa"/>
            <w:gridSpan w:val="2"/>
            <w:tcBorders>
              <w:top w:val="nil"/>
              <w:left w:val="nil"/>
              <w:bottom w:val="nil"/>
              <w:right w:val="nil"/>
            </w:tcBorders>
            <w:shd w:val="clear" w:color="auto" w:fill="auto"/>
            <w:noWrap/>
            <w:vAlign w:val="bottom"/>
            <w:hideMark/>
          </w:tcPr>
          <w:p w:rsidR="009334AB" w:rsidRPr="003B1B2D" w:rsidRDefault="009334AB" w:rsidP="006A44C0">
            <w:pPr>
              <w:jc w:val="center"/>
              <w:rPr>
                <w:rFonts w:ascii="Calibri" w:hAnsi="Calibri" w:cs="Arial"/>
                <w:lang w:eastAsia="en-GB"/>
              </w:rPr>
            </w:pPr>
          </w:p>
        </w:tc>
        <w:tc>
          <w:tcPr>
            <w:tcW w:w="1193" w:type="dxa"/>
            <w:tcBorders>
              <w:top w:val="nil"/>
              <w:left w:val="nil"/>
              <w:bottom w:val="nil"/>
              <w:right w:val="nil"/>
            </w:tcBorders>
            <w:shd w:val="clear" w:color="auto" w:fill="auto"/>
            <w:noWrap/>
            <w:vAlign w:val="bottom"/>
            <w:hideMark/>
          </w:tcPr>
          <w:p w:rsidR="009334AB" w:rsidRPr="003B1B2D" w:rsidRDefault="009334AB" w:rsidP="006A44C0">
            <w:pPr>
              <w:jc w:val="left"/>
              <w:rPr>
                <w:rFonts w:ascii="Calibri" w:hAnsi="Calibri" w:cs="Arial"/>
                <w:lang w:eastAsia="en-GB"/>
              </w:rPr>
            </w:pPr>
          </w:p>
        </w:tc>
      </w:tr>
    </w:tbl>
    <w:p w:rsidR="006A44C0" w:rsidRPr="003B1B2D" w:rsidRDefault="006A44C0">
      <w:pPr>
        <w:jc w:val="left"/>
        <w:rPr>
          <w:rFonts w:ascii="Arial" w:hAnsi="Arial" w:cs="Arial"/>
          <w:b/>
          <w:bCs/>
          <w:color w:val="000000"/>
          <w:sz w:val="20"/>
          <w:szCs w:val="20"/>
          <w:lang w:eastAsia="en-GB"/>
        </w:rPr>
      </w:pPr>
    </w:p>
    <w:p w:rsidR="006A44C0" w:rsidRPr="001F5EAB" w:rsidRDefault="001F5EAB" w:rsidP="001F5EAB">
      <w:pPr>
        <w:jc w:val="left"/>
        <w:rPr>
          <w:rFonts w:ascii="Arial" w:hAnsi="Arial" w:cs="Arial"/>
          <w:bCs/>
          <w:color w:val="000000"/>
          <w:sz w:val="20"/>
          <w:szCs w:val="20"/>
          <w:lang w:eastAsia="en-GB"/>
        </w:rPr>
      </w:pPr>
      <w:r w:rsidRPr="001F5EAB">
        <w:rPr>
          <w:rFonts w:ascii="Arial" w:hAnsi="Arial" w:cs="Arial"/>
          <w:bCs/>
          <w:color w:val="000000"/>
          <w:sz w:val="20"/>
          <w:szCs w:val="20"/>
          <w:lang w:eastAsia="en-GB"/>
        </w:rPr>
        <w:t>* Reclassification relates to the revalued element of land sold in October 2013 which is deemed to have completed in 2014 and is now transferred to realised reserves.</w:t>
      </w:r>
    </w:p>
    <w:p w:rsidR="006A44C0" w:rsidRPr="001F5EAB" w:rsidRDefault="006A44C0">
      <w:pPr>
        <w:jc w:val="left"/>
        <w:rPr>
          <w:rFonts w:ascii="Arial" w:hAnsi="Arial" w:cs="Arial"/>
          <w:bCs/>
          <w:color w:val="000000"/>
          <w:sz w:val="20"/>
          <w:szCs w:val="20"/>
          <w:lang w:eastAsia="en-GB"/>
        </w:rPr>
      </w:pPr>
    </w:p>
    <w:p w:rsidR="006A44C0" w:rsidRPr="003B1B2D" w:rsidRDefault="006A44C0">
      <w:pPr>
        <w:jc w:val="left"/>
        <w:rPr>
          <w:rFonts w:ascii="Arial" w:hAnsi="Arial" w:cs="Arial"/>
          <w:b/>
          <w:bCs/>
          <w:color w:val="000000"/>
          <w:sz w:val="20"/>
          <w:szCs w:val="20"/>
          <w:lang w:eastAsia="en-GB"/>
        </w:rPr>
      </w:pPr>
    </w:p>
    <w:p w:rsidR="006A44C0" w:rsidRPr="00284A95" w:rsidRDefault="006A44C0">
      <w:pPr>
        <w:jc w:val="left"/>
        <w:rPr>
          <w:rFonts w:ascii="Arial" w:hAnsi="Arial" w:cs="Arial"/>
          <w:b/>
          <w:bCs/>
          <w:color w:val="000000"/>
          <w:sz w:val="20"/>
          <w:szCs w:val="20"/>
          <w:highlight w:val="yellow"/>
          <w:lang w:eastAsia="en-GB"/>
        </w:rPr>
      </w:pPr>
    </w:p>
    <w:p w:rsidR="006A44C0" w:rsidRPr="00284A95" w:rsidRDefault="006A44C0">
      <w:pPr>
        <w:jc w:val="left"/>
        <w:rPr>
          <w:rFonts w:ascii="Arial" w:hAnsi="Arial" w:cs="Arial"/>
          <w:b/>
          <w:bCs/>
          <w:color w:val="000000"/>
          <w:sz w:val="20"/>
          <w:szCs w:val="20"/>
          <w:highlight w:val="yellow"/>
          <w:lang w:eastAsia="en-GB"/>
        </w:rPr>
      </w:pPr>
    </w:p>
    <w:p w:rsidR="006A44C0" w:rsidRPr="00284A95" w:rsidRDefault="006A44C0">
      <w:pPr>
        <w:jc w:val="left"/>
        <w:rPr>
          <w:rFonts w:ascii="Arial" w:hAnsi="Arial" w:cs="Arial"/>
          <w:b/>
          <w:bCs/>
          <w:color w:val="000000"/>
          <w:sz w:val="20"/>
          <w:szCs w:val="20"/>
          <w:highlight w:val="yellow"/>
          <w:lang w:eastAsia="en-GB"/>
        </w:rPr>
      </w:pPr>
    </w:p>
    <w:p w:rsidR="006A44C0" w:rsidRPr="00284A95" w:rsidRDefault="006A44C0">
      <w:pPr>
        <w:jc w:val="left"/>
        <w:rPr>
          <w:rFonts w:ascii="Arial" w:hAnsi="Arial" w:cs="Arial"/>
          <w:b/>
          <w:bCs/>
          <w:color w:val="000000"/>
          <w:sz w:val="20"/>
          <w:szCs w:val="20"/>
          <w:highlight w:val="yellow"/>
          <w:lang w:eastAsia="en-GB"/>
        </w:rPr>
      </w:pPr>
    </w:p>
    <w:p w:rsidR="006A44C0" w:rsidRPr="00284A95" w:rsidRDefault="006A44C0">
      <w:pPr>
        <w:jc w:val="left"/>
        <w:rPr>
          <w:rFonts w:ascii="Arial" w:hAnsi="Arial" w:cs="Arial"/>
          <w:b/>
          <w:bCs/>
          <w:color w:val="000000"/>
          <w:sz w:val="20"/>
          <w:szCs w:val="20"/>
          <w:highlight w:val="yellow"/>
          <w:lang w:eastAsia="en-GB"/>
        </w:rPr>
      </w:pPr>
    </w:p>
    <w:p w:rsidR="006A44C0" w:rsidRPr="00284A95" w:rsidRDefault="006A44C0">
      <w:pPr>
        <w:jc w:val="left"/>
        <w:rPr>
          <w:rFonts w:ascii="Arial" w:hAnsi="Arial" w:cs="Arial"/>
          <w:b/>
          <w:bCs/>
          <w:color w:val="000000"/>
          <w:sz w:val="20"/>
          <w:szCs w:val="20"/>
          <w:highlight w:val="yellow"/>
          <w:lang w:eastAsia="en-GB"/>
        </w:rPr>
      </w:pPr>
    </w:p>
    <w:p w:rsidR="006A44C0" w:rsidRPr="00284A95" w:rsidRDefault="006A44C0">
      <w:pPr>
        <w:jc w:val="left"/>
        <w:rPr>
          <w:rFonts w:ascii="Arial" w:hAnsi="Arial" w:cs="Arial"/>
          <w:b/>
          <w:bCs/>
          <w:color w:val="000000"/>
          <w:sz w:val="20"/>
          <w:szCs w:val="20"/>
          <w:highlight w:val="yellow"/>
          <w:lang w:eastAsia="en-GB"/>
        </w:rPr>
      </w:pPr>
    </w:p>
    <w:p w:rsidR="006A44C0" w:rsidRPr="00284A95" w:rsidRDefault="006A44C0">
      <w:pPr>
        <w:jc w:val="left"/>
        <w:rPr>
          <w:rFonts w:ascii="Arial" w:hAnsi="Arial" w:cs="Arial"/>
          <w:b/>
          <w:bCs/>
          <w:color w:val="000000"/>
          <w:sz w:val="20"/>
          <w:szCs w:val="20"/>
          <w:highlight w:val="yellow"/>
          <w:lang w:eastAsia="en-GB"/>
        </w:rPr>
      </w:pPr>
    </w:p>
    <w:tbl>
      <w:tblPr>
        <w:tblpPr w:leftFromText="180" w:rightFromText="180" w:vertAnchor="text" w:horzAnchor="margin" w:tblpY="65"/>
        <w:tblW w:w="10031" w:type="dxa"/>
        <w:tblLook w:val="04A0" w:firstRow="1" w:lastRow="0" w:firstColumn="1" w:lastColumn="0" w:noHBand="0" w:noVBand="1"/>
      </w:tblPr>
      <w:tblGrid>
        <w:gridCol w:w="3631"/>
        <w:gridCol w:w="2573"/>
        <w:gridCol w:w="2252"/>
        <w:gridCol w:w="1575"/>
      </w:tblGrid>
      <w:tr w:rsidR="00A13609" w:rsidRPr="00A13609" w:rsidTr="006A44C0">
        <w:trPr>
          <w:trHeight w:val="115"/>
        </w:trPr>
        <w:tc>
          <w:tcPr>
            <w:tcW w:w="6204" w:type="dxa"/>
            <w:gridSpan w:val="2"/>
            <w:tcBorders>
              <w:top w:val="nil"/>
              <w:left w:val="nil"/>
              <w:bottom w:val="nil"/>
              <w:right w:val="nil"/>
            </w:tcBorders>
            <w:shd w:val="clear" w:color="auto" w:fill="auto"/>
            <w:noWrap/>
            <w:vAlign w:val="bottom"/>
            <w:hideMark/>
          </w:tcPr>
          <w:p w:rsidR="00A13609" w:rsidRPr="00A13609" w:rsidRDefault="00A13609" w:rsidP="00A13609">
            <w:pPr>
              <w:jc w:val="left"/>
              <w:rPr>
                <w:rFonts w:ascii="Calibri" w:hAnsi="Calibri" w:cs="Arial"/>
                <w:b/>
                <w:bCs/>
                <w:lang w:eastAsia="en-GB"/>
              </w:rPr>
            </w:pPr>
            <w:r w:rsidRPr="00A13609">
              <w:rPr>
                <w:rFonts w:ascii="Calibri" w:hAnsi="Calibri" w:cs="Arial"/>
                <w:b/>
                <w:bCs/>
                <w:lang w:eastAsia="en-GB"/>
              </w:rPr>
              <w:lastRenderedPageBreak/>
              <w:t>Consolidated  Statement of Cash Flows</w:t>
            </w:r>
          </w:p>
        </w:tc>
        <w:tc>
          <w:tcPr>
            <w:tcW w:w="2252"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b/>
                <w:bCs/>
                <w:lang w:eastAsia="en-GB"/>
              </w:rPr>
            </w:pPr>
            <w:r w:rsidRPr="00A13609">
              <w:rPr>
                <w:rFonts w:ascii="Calibri" w:hAnsi="Calibri" w:cs="Arial"/>
                <w:b/>
                <w:bCs/>
                <w:lang w:eastAsia="en-GB"/>
              </w:rPr>
              <w:t>2014</w:t>
            </w:r>
          </w:p>
        </w:tc>
        <w:tc>
          <w:tcPr>
            <w:tcW w:w="1575"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b/>
                <w:bCs/>
                <w:lang w:eastAsia="en-GB"/>
              </w:rPr>
            </w:pPr>
            <w:r w:rsidRPr="00A13609">
              <w:rPr>
                <w:rFonts w:ascii="Calibri" w:hAnsi="Calibri" w:cs="Arial"/>
                <w:b/>
                <w:bCs/>
                <w:lang w:eastAsia="en-GB"/>
              </w:rPr>
              <w:t>2013</w:t>
            </w:r>
          </w:p>
        </w:tc>
      </w:tr>
      <w:tr w:rsidR="00A13609" w:rsidRPr="00A13609" w:rsidTr="006A44C0">
        <w:trPr>
          <w:trHeight w:val="115"/>
        </w:trPr>
        <w:tc>
          <w:tcPr>
            <w:tcW w:w="6204" w:type="dxa"/>
            <w:gridSpan w:val="2"/>
            <w:tcBorders>
              <w:top w:val="nil"/>
              <w:left w:val="nil"/>
              <w:bottom w:val="nil"/>
              <w:right w:val="nil"/>
            </w:tcBorders>
            <w:shd w:val="clear" w:color="auto" w:fill="auto"/>
            <w:noWrap/>
            <w:vAlign w:val="bottom"/>
            <w:hideMark/>
          </w:tcPr>
          <w:p w:rsidR="00A13609" w:rsidRPr="00A13609" w:rsidRDefault="00A13609" w:rsidP="00A13609">
            <w:pPr>
              <w:ind w:right="-108"/>
              <w:jc w:val="left"/>
              <w:rPr>
                <w:rFonts w:ascii="Calibri" w:hAnsi="Calibri" w:cs="Arial"/>
                <w:b/>
                <w:bCs/>
                <w:lang w:eastAsia="en-GB"/>
              </w:rPr>
            </w:pPr>
            <w:r w:rsidRPr="00A13609">
              <w:rPr>
                <w:rFonts w:ascii="Calibri" w:hAnsi="Calibri" w:cs="Arial"/>
                <w:b/>
                <w:bCs/>
                <w:lang w:eastAsia="en-GB"/>
              </w:rPr>
              <w:t>for the year ended 31 December 2013</w:t>
            </w:r>
          </w:p>
        </w:tc>
        <w:tc>
          <w:tcPr>
            <w:tcW w:w="2252"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b/>
                <w:bCs/>
                <w:lang w:eastAsia="en-GB"/>
              </w:rPr>
            </w:pPr>
            <w:r w:rsidRPr="00A13609">
              <w:rPr>
                <w:rFonts w:ascii="Calibri" w:hAnsi="Calibri" w:cs="Arial"/>
                <w:b/>
                <w:bCs/>
                <w:lang w:eastAsia="en-GB"/>
              </w:rPr>
              <w:t>£'000</w:t>
            </w:r>
          </w:p>
        </w:tc>
        <w:tc>
          <w:tcPr>
            <w:tcW w:w="1575"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b/>
                <w:bCs/>
                <w:lang w:eastAsia="en-GB"/>
              </w:rPr>
            </w:pPr>
            <w:r w:rsidRPr="00A13609">
              <w:rPr>
                <w:rFonts w:ascii="Calibri" w:hAnsi="Calibri" w:cs="Arial"/>
                <w:b/>
                <w:bCs/>
                <w:lang w:eastAsia="en-GB"/>
              </w:rPr>
              <w:t>£'000</w:t>
            </w:r>
          </w:p>
        </w:tc>
      </w:tr>
      <w:tr w:rsidR="006A44C0" w:rsidRPr="00A13609" w:rsidTr="006A44C0">
        <w:trPr>
          <w:trHeight w:val="115"/>
        </w:trPr>
        <w:tc>
          <w:tcPr>
            <w:tcW w:w="3631" w:type="dxa"/>
            <w:tcBorders>
              <w:top w:val="nil"/>
              <w:left w:val="nil"/>
              <w:bottom w:val="nil"/>
              <w:right w:val="nil"/>
            </w:tcBorders>
            <w:shd w:val="clear" w:color="auto" w:fill="auto"/>
            <w:noWrap/>
            <w:vAlign w:val="bottom"/>
            <w:hideMark/>
          </w:tcPr>
          <w:p w:rsidR="006A44C0" w:rsidRPr="00A13609" w:rsidRDefault="006A44C0" w:rsidP="006A44C0">
            <w:pPr>
              <w:jc w:val="left"/>
              <w:rPr>
                <w:rFonts w:ascii="Calibri" w:hAnsi="Calibri" w:cs="Arial"/>
                <w:lang w:eastAsia="en-GB"/>
              </w:rPr>
            </w:pPr>
          </w:p>
        </w:tc>
        <w:tc>
          <w:tcPr>
            <w:tcW w:w="2573" w:type="dxa"/>
            <w:tcBorders>
              <w:top w:val="nil"/>
              <w:left w:val="nil"/>
              <w:bottom w:val="nil"/>
              <w:right w:val="nil"/>
            </w:tcBorders>
            <w:shd w:val="clear" w:color="auto" w:fill="auto"/>
            <w:noWrap/>
            <w:vAlign w:val="bottom"/>
            <w:hideMark/>
          </w:tcPr>
          <w:p w:rsidR="006A44C0" w:rsidRPr="00A13609" w:rsidRDefault="006A44C0" w:rsidP="006A44C0">
            <w:pPr>
              <w:jc w:val="left"/>
              <w:rPr>
                <w:rFonts w:ascii="Calibri" w:hAnsi="Calibri" w:cs="Arial"/>
                <w:lang w:eastAsia="en-GB"/>
              </w:rPr>
            </w:pPr>
          </w:p>
        </w:tc>
        <w:tc>
          <w:tcPr>
            <w:tcW w:w="2252" w:type="dxa"/>
            <w:tcBorders>
              <w:top w:val="nil"/>
              <w:left w:val="nil"/>
              <w:bottom w:val="nil"/>
              <w:right w:val="nil"/>
            </w:tcBorders>
            <w:shd w:val="clear" w:color="auto" w:fill="auto"/>
            <w:noWrap/>
            <w:vAlign w:val="bottom"/>
            <w:hideMark/>
          </w:tcPr>
          <w:p w:rsidR="006A44C0" w:rsidRPr="00A13609" w:rsidRDefault="006A44C0" w:rsidP="006A44C0">
            <w:pPr>
              <w:jc w:val="left"/>
              <w:rPr>
                <w:rFonts w:ascii="Calibri" w:hAnsi="Calibri" w:cs="Arial"/>
                <w:lang w:eastAsia="en-GB"/>
              </w:rPr>
            </w:pPr>
          </w:p>
        </w:tc>
        <w:tc>
          <w:tcPr>
            <w:tcW w:w="1575" w:type="dxa"/>
            <w:tcBorders>
              <w:top w:val="nil"/>
              <w:left w:val="nil"/>
              <w:bottom w:val="nil"/>
              <w:right w:val="nil"/>
            </w:tcBorders>
            <w:shd w:val="clear" w:color="auto" w:fill="auto"/>
            <w:noWrap/>
            <w:vAlign w:val="bottom"/>
            <w:hideMark/>
          </w:tcPr>
          <w:p w:rsidR="006A44C0" w:rsidRPr="00A13609" w:rsidRDefault="006A44C0" w:rsidP="006A44C0">
            <w:pPr>
              <w:jc w:val="left"/>
              <w:rPr>
                <w:rFonts w:ascii="Calibri" w:hAnsi="Calibri" w:cs="Arial"/>
                <w:lang w:eastAsia="en-GB"/>
              </w:rPr>
            </w:pPr>
          </w:p>
        </w:tc>
      </w:tr>
      <w:tr w:rsidR="006A44C0" w:rsidRPr="00A13609" w:rsidTr="006A44C0">
        <w:trPr>
          <w:trHeight w:val="115"/>
        </w:trPr>
        <w:tc>
          <w:tcPr>
            <w:tcW w:w="8456" w:type="dxa"/>
            <w:gridSpan w:val="3"/>
            <w:tcBorders>
              <w:top w:val="nil"/>
              <w:left w:val="nil"/>
              <w:bottom w:val="nil"/>
              <w:right w:val="nil"/>
            </w:tcBorders>
            <w:shd w:val="clear" w:color="auto" w:fill="auto"/>
            <w:noWrap/>
            <w:vAlign w:val="bottom"/>
            <w:hideMark/>
          </w:tcPr>
          <w:p w:rsidR="006A44C0" w:rsidRPr="00A13609" w:rsidRDefault="006A44C0" w:rsidP="006A44C0">
            <w:pPr>
              <w:rPr>
                <w:rFonts w:ascii="Calibri" w:hAnsi="Calibri" w:cs="Arial"/>
                <w:b/>
                <w:bCs/>
                <w:lang w:eastAsia="en-GB"/>
              </w:rPr>
            </w:pPr>
            <w:r w:rsidRPr="00A13609">
              <w:rPr>
                <w:rFonts w:ascii="Calibri" w:hAnsi="Calibri" w:cs="Arial"/>
                <w:b/>
                <w:bCs/>
                <w:lang w:eastAsia="en-GB"/>
              </w:rPr>
              <w:t>Cash flows from operating activities</w:t>
            </w:r>
          </w:p>
        </w:tc>
        <w:tc>
          <w:tcPr>
            <w:tcW w:w="1575" w:type="dxa"/>
            <w:tcBorders>
              <w:top w:val="nil"/>
              <w:left w:val="nil"/>
              <w:bottom w:val="nil"/>
              <w:right w:val="nil"/>
            </w:tcBorders>
            <w:shd w:val="clear" w:color="auto" w:fill="auto"/>
            <w:noWrap/>
            <w:vAlign w:val="bottom"/>
            <w:hideMark/>
          </w:tcPr>
          <w:p w:rsidR="006A44C0" w:rsidRPr="00A13609" w:rsidRDefault="006A44C0" w:rsidP="006A44C0">
            <w:pPr>
              <w:jc w:val="right"/>
              <w:rPr>
                <w:rFonts w:ascii="Calibri" w:hAnsi="Calibri" w:cs="Arial"/>
                <w:lang w:eastAsia="en-GB"/>
              </w:rPr>
            </w:pPr>
          </w:p>
        </w:tc>
      </w:tr>
      <w:tr w:rsidR="00A13609" w:rsidRPr="00A13609" w:rsidTr="006A44C0">
        <w:trPr>
          <w:trHeight w:val="115"/>
        </w:trPr>
        <w:tc>
          <w:tcPr>
            <w:tcW w:w="6204" w:type="dxa"/>
            <w:gridSpan w:val="2"/>
            <w:tcBorders>
              <w:top w:val="nil"/>
              <w:left w:val="nil"/>
              <w:bottom w:val="nil"/>
              <w:right w:val="nil"/>
            </w:tcBorders>
            <w:shd w:val="clear" w:color="auto" w:fill="auto"/>
            <w:noWrap/>
            <w:vAlign w:val="bottom"/>
            <w:hideMark/>
          </w:tcPr>
          <w:p w:rsidR="00A13609" w:rsidRPr="00A13609" w:rsidRDefault="00A13609" w:rsidP="00A13609">
            <w:pPr>
              <w:jc w:val="left"/>
              <w:rPr>
                <w:rFonts w:ascii="Calibri" w:hAnsi="Calibri" w:cs="Arial"/>
                <w:lang w:eastAsia="en-GB"/>
              </w:rPr>
            </w:pPr>
            <w:r w:rsidRPr="00A13609">
              <w:rPr>
                <w:rFonts w:ascii="Calibri" w:hAnsi="Calibri" w:cs="Arial"/>
                <w:lang w:eastAsia="en-GB"/>
              </w:rPr>
              <w:t>Profit before taxation</w:t>
            </w:r>
          </w:p>
        </w:tc>
        <w:tc>
          <w:tcPr>
            <w:tcW w:w="2252"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r>
              <w:rPr>
                <w:rFonts w:ascii="Calibri" w:hAnsi="Calibri" w:cs="Arial"/>
                <w:lang w:eastAsia="en-GB"/>
              </w:rPr>
              <w:t>2,602</w:t>
            </w:r>
          </w:p>
        </w:tc>
        <w:tc>
          <w:tcPr>
            <w:tcW w:w="1575"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r w:rsidRPr="00A13609">
              <w:rPr>
                <w:rFonts w:ascii="Calibri" w:hAnsi="Calibri" w:cs="Arial"/>
                <w:lang w:eastAsia="en-GB"/>
              </w:rPr>
              <w:t>407</w:t>
            </w:r>
          </w:p>
        </w:tc>
      </w:tr>
      <w:tr w:rsidR="00A13609" w:rsidRPr="00A13609" w:rsidTr="006A44C0">
        <w:trPr>
          <w:trHeight w:val="115"/>
        </w:trPr>
        <w:tc>
          <w:tcPr>
            <w:tcW w:w="6204" w:type="dxa"/>
            <w:gridSpan w:val="2"/>
            <w:tcBorders>
              <w:top w:val="nil"/>
              <w:left w:val="nil"/>
              <w:bottom w:val="nil"/>
              <w:right w:val="nil"/>
            </w:tcBorders>
            <w:shd w:val="clear" w:color="auto" w:fill="auto"/>
            <w:noWrap/>
            <w:vAlign w:val="bottom"/>
            <w:hideMark/>
          </w:tcPr>
          <w:p w:rsidR="00A13609" w:rsidRPr="00A13609" w:rsidRDefault="00A13609" w:rsidP="00A13609">
            <w:pPr>
              <w:jc w:val="left"/>
              <w:rPr>
                <w:rFonts w:ascii="Calibri" w:hAnsi="Calibri" w:cs="Arial"/>
                <w:lang w:eastAsia="en-GB"/>
              </w:rPr>
            </w:pPr>
            <w:r w:rsidRPr="00A13609">
              <w:rPr>
                <w:rFonts w:ascii="Calibri" w:hAnsi="Calibri" w:cs="Arial"/>
                <w:lang w:eastAsia="en-GB"/>
              </w:rPr>
              <w:t>Loss from discontinued activities</w:t>
            </w:r>
          </w:p>
        </w:tc>
        <w:tc>
          <w:tcPr>
            <w:tcW w:w="2252"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r>
              <w:rPr>
                <w:rFonts w:ascii="Calibri" w:hAnsi="Calibri" w:cs="Arial"/>
                <w:lang w:eastAsia="en-GB"/>
              </w:rPr>
              <w:t>-</w:t>
            </w:r>
          </w:p>
        </w:tc>
        <w:tc>
          <w:tcPr>
            <w:tcW w:w="1575"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r w:rsidRPr="00A13609">
              <w:rPr>
                <w:rFonts w:ascii="Calibri" w:hAnsi="Calibri" w:cs="Arial"/>
                <w:lang w:eastAsia="en-GB"/>
              </w:rPr>
              <w:t>(152)</w:t>
            </w:r>
          </w:p>
        </w:tc>
      </w:tr>
      <w:tr w:rsidR="00A13609" w:rsidRPr="00A13609" w:rsidTr="006A44C0">
        <w:trPr>
          <w:trHeight w:val="115"/>
        </w:trPr>
        <w:tc>
          <w:tcPr>
            <w:tcW w:w="6204" w:type="dxa"/>
            <w:gridSpan w:val="2"/>
            <w:tcBorders>
              <w:top w:val="nil"/>
              <w:left w:val="nil"/>
              <w:bottom w:val="nil"/>
              <w:right w:val="nil"/>
            </w:tcBorders>
            <w:shd w:val="clear" w:color="auto" w:fill="auto"/>
            <w:noWrap/>
            <w:vAlign w:val="bottom"/>
            <w:hideMark/>
          </w:tcPr>
          <w:p w:rsidR="00A13609" w:rsidRPr="00A13609" w:rsidRDefault="00A13609" w:rsidP="00A13609">
            <w:pPr>
              <w:jc w:val="left"/>
              <w:rPr>
                <w:rFonts w:ascii="Calibri" w:hAnsi="Calibri" w:cs="Arial"/>
                <w:lang w:eastAsia="en-GB"/>
              </w:rPr>
            </w:pPr>
            <w:r w:rsidRPr="00A13609">
              <w:rPr>
                <w:rFonts w:ascii="Calibri" w:hAnsi="Calibri" w:cs="Arial"/>
                <w:lang w:eastAsia="en-GB"/>
              </w:rPr>
              <w:t>Loss on disposal plant and machinery</w:t>
            </w:r>
          </w:p>
        </w:tc>
        <w:tc>
          <w:tcPr>
            <w:tcW w:w="2252"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r w:rsidRPr="00A13609">
              <w:rPr>
                <w:rFonts w:ascii="Calibri" w:hAnsi="Calibri" w:cs="Arial"/>
                <w:lang w:eastAsia="en-GB"/>
              </w:rPr>
              <w:t xml:space="preserve">             -   </w:t>
            </w:r>
          </w:p>
        </w:tc>
        <w:tc>
          <w:tcPr>
            <w:tcW w:w="1575"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r w:rsidRPr="00A13609">
              <w:rPr>
                <w:rFonts w:ascii="Calibri" w:hAnsi="Calibri" w:cs="Arial"/>
                <w:lang w:eastAsia="en-GB"/>
              </w:rPr>
              <w:t xml:space="preserve">             -   </w:t>
            </w:r>
          </w:p>
        </w:tc>
      </w:tr>
      <w:tr w:rsidR="00A13609" w:rsidRPr="00A13609" w:rsidTr="006A44C0">
        <w:trPr>
          <w:trHeight w:val="115"/>
        </w:trPr>
        <w:tc>
          <w:tcPr>
            <w:tcW w:w="6204" w:type="dxa"/>
            <w:gridSpan w:val="2"/>
            <w:tcBorders>
              <w:top w:val="nil"/>
              <w:left w:val="nil"/>
              <w:bottom w:val="nil"/>
              <w:right w:val="nil"/>
            </w:tcBorders>
            <w:shd w:val="clear" w:color="auto" w:fill="auto"/>
            <w:noWrap/>
            <w:vAlign w:val="bottom"/>
            <w:hideMark/>
          </w:tcPr>
          <w:p w:rsidR="00A13609" w:rsidRPr="00A13609" w:rsidRDefault="00A13609" w:rsidP="00A13609">
            <w:pPr>
              <w:jc w:val="left"/>
              <w:rPr>
                <w:rFonts w:ascii="Calibri" w:hAnsi="Calibri" w:cs="Arial"/>
                <w:lang w:eastAsia="en-GB"/>
              </w:rPr>
            </w:pPr>
            <w:r w:rsidRPr="00A13609">
              <w:rPr>
                <w:rFonts w:ascii="Calibri" w:hAnsi="Calibri" w:cs="Arial"/>
                <w:lang w:eastAsia="en-GB"/>
              </w:rPr>
              <w:t>Profit on sale of fixed assets</w:t>
            </w:r>
          </w:p>
        </w:tc>
        <w:tc>
          <w:tcPr>
            <w:tcW w:w="2252"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r>
              <w:rPr>
                <w:rFonts w:ascii="Calibri" w:hAnsi="Calibri" w:cs="Arial"/>
                <w:lang w:eastAsia="en-GB"/>
              </w:rPr>
              <w:t>(2)</w:t>
            </w:r>
          </w:p>
        </w:tc>
        <w:tc>
          <w:tcPr>
            <w:tcW w:w="1575"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r w:rsidRPr="00A13609">
              <w:rPr>
                <w:rFonts w:ascii="Calibri" w:hAnsi="Calibri" w:cs="Arial"/>
                <w:lang w:eastAsia="en-GB"/>
              </w:rPr>
              <w:t>(724)</w:t>
            </w:r>
          </w:p>
        </w:tc>
      </w:tr>
      <w:tr w:rsidR="00A13609" w:rsidRPr="00A13609" w:rsidTr="006A44C0">
        <w:trPr>
          <w:trHeight w:val="115"/>
        </w:trPr>
        <w:tc>
          <w:tcPr>
            <w:tcW w:w="3631" w:type="dxa"/>
            <w:tcBorders>
              <w:top w:val="nil"/>
              <w:left w:val="nil"/>
              <w:bottom w:val="nil"/>
              <w:right w:val="nil"/>
            </w:tcBorders>
            <w:shd w:val="clear" w:color="auto" w:fill="auto"/>
            <w:noWrap/>
            <w:vAlign w:val="bottom"/>
          </w:tcPr>
          <w:p w:rsidR="00A13609" w:rsidRPr="00A13609" w:rsidRDefault="00A13609" w:rsidP="00A13609">
            <w:pPr>
              <w:jc w:val="left"/>
              <w:rPr>
                <w:rFonts w:ascii="Calibri" w:hAnsi="Calibri" w:cs="Arial"/>
                <w:lang w:eastAsia="en-GB"/>
              </w:rPr>
            </w:pPr>
            <w:r>
              <w:rPr>
                <w:rFonts w:ascii="Calibri" w:hAnsi="Calibri" w:cs="Arial"/>
                <w:lang w:eastAsia="en-GB"/>
              </w:rPr>
              <w:t>Profit on sale of investments</w:t>
            </w:r>
          </w:p>
        </w:tc>
        <w:tc>
          <w:tcPr>
            <w:tcW w:w="2573" w:type="dxa"/>
            <w:tcBorders>
              <w:top w:val="nil"/>
              <w:left w:val="nil"/>
              <w:bottom w:val="nil"/>
              <w:right w:val="nil"/>
            </w:tcBorders>
            <w:shd w:val="clear" w:color="auto" w:fill="auto"/>
            <w:noWrap/>
            <w:vAlign w:val="bottom"/>
          </w:tcPr>
          <w:p w:rsidR="00A13609" w:rsidRPr="00A13609" w:rsidRDefault="00A13609" w:rsidP="00A13609">
            <w:pPr>
              <w:jc w:val="left"/>
              <w:rPr>
                <w:rFonts w:ascii="Calibri" w:hAnsi="Calibri" w:cs="Arial"/>
                <w:lang w:eastAsia="en-GB"/>
              </w:rPr>
            </w:pPr>
          </w:p>
        </w:tc>
        <w:tc>
          <w:tcPr>
            <w:tcW w:w="2252" w:type="dxa"/>
            <w:tcBorders>
              <w:top w:val="nil"/>
              <w:left w:val="nil"/>
              <w:bottom w:val="nil"/>
              <w:right w:val="nil"/>
            </w:tcBorders>
            <w:shd w:val="clear" w:color="auto" w:fill="auto"/>
            <w:noWrap/>
            <w:vAlign w:val="bottom"/>
          </w:tcPr>
          <w:p w:rsidR="00A13609" w:rsidRPr="00A13609" w:rsidRDefault="00821868" w:rsidP="00A13609">
            <w:pPr>
              <w:jc w:val="right"/>
              <w:rPr>
                <w:rFonts w:ascii="Calibri" w:hAnsi="Calibri" w:cs="Arial"/>
                <w:lang w:eastAsia="en-GB"/>
              </w:rPr>
            </w:pPr>
            <w:r>
              <w:rPr>
                <w:rFonts w:ascii="Calibri" w:hAnsi="Calibri" w:cs="Arial"/>
                <w:lang w:eastAsia="en-GB"/>
              </w:rPr>
              <w:t>(</w:t>
            </w:r>
            <w:r w:rsidR="00A13609">
              <w:rPr>
                <w:rFonts w:ascii="Calibri" w:hAnsi="Calibri" w:cs="Arial"/>
                <w:lang w:eastAsia="en-GB"/>
              </w:rPr>
              <w:t>15</w:t>
            </w:r>
            <w:r>
              <w:rPr>
                <w:rFonts w:ascii="Calibri" w:hAnsi="Calibri" w:cs="Arial"/>
                <w:lang w:eastAsia="en-GB"/>
              </w:rPr>
              <w:t>)</w:t>
            </w:r>
          </w:p>
        </w:tc>
        <w:tc>
          <w:tcPr>
            <w:tcW w:w="1575" w:type="dxa"/>
            <w:tcBorders>
              <w:top w:val="nil"/>
              <w:left w:val="nil"/>
              <w:bottom w:val="nil"/>
              <w:right w:val="nil"/>
            </w:tcBorders>
            <w:shd w:val="clear" w:color="auto" w:fill="auto"/>
            <w:noWrap/>
            <w:vAlign w:val="bottom"/>
          </w:tcPr>
          <w:p w:rsidR="00A13609" w:rsidRPr="00A13609" w:rsidRDefault="00A13609" w:rsidP="00A13609">
            <w:pPr>
              <w:jc w:val="right"/>
              <w:rPr>
                <w:rFonts w:ascii="Calibri" w:hAnsi="Calibri" w:cs="Arial"/>
                <w:lang w:eastAsia="en-GB"/>
              </w:rPr>
            </w:pPr>
            <w:r>
              <w:rPr>
                <w:rFonts w:ascii="Calibri" w:hAnsi="Calibri" w:cs="Arial"/>
                <w:lang w:eastAsia="en-GB"/>
              </w:rPr>
              <w:t>-</w:t>
            </w:r>
          </w:p>
        </w:tc>
      </w:tr>
      <w:tr w:rsidR="00A13609" w:rsidRPr="00A13609" w:rsidTr="006A44C0">
        <w:trPr>
          <w:trHeight w:val="115"/>
        </w:trPr>
        <w:tc>
          <w:tcPr>
            <w:tcW w:w="3631" w:type="dxa"/>
            <w:tcBorders>
              <w:top w:val="nil"/>
              <w:left w:val="nil"/>
              <w:bottom w:val="nil"/>
              <w:right w:val="nil"/>
            </w:tcBorders>
            <w:shd w:val="clear" w:color="auto" w:fill="auto"/>
            <w:noWrap/>
            <w:vAlign w:val="bottom"/>
            <w:hideMark/>
          </w:tcPr>
          <w:p w:rsidR="00A13609" w:rsidRPr="00A13609" w:rsidRDefault="00A13609" w:rsidP="00A13609">
            <w:pPr>
              <w:jc w:val="left"/>
              <w:rPr>
                <w:rFonts w:ascii="Calibri" w:hAnsi="Calibri" w:cs="Arial"/>
                <w:lang w:eastAsia="en-GB"/>
              </w:rPr>
            </w:pPr>
            <w:r w:rsidRPr="00A13609">
              <w:rPr>
                <w:rFonts w:ascii="Calibri" w:hAnsi="Calibri" w:cs="Arial"/>
                <w:lang w:eastAsia="en-GB"/>
              </w:rPr>
              <w:t>Finance costs</w:t>
            </w:r>
          </w:p>
        </w:tc>
        <w:tc>
          <w:tcPr>
            <w:tcW w:w="2573" w:type="dxa"/>
            <w:tcBorders>
              <w:top w:val="nil"/>
              <w:left w:val="nil"/>
              <w:bottom w:val="nil"/>
              <w:right w:val="nil"/>
            </w:tcBorders>
            <w:shd w:val="clear" w:color="auto" w:fill="auto"/>
            <w:noWrap/>
            <w:vAlign w:val="bottom"/>
            <w:hideMark/>
          </w:tcPr>
          <w:p w:rsidR="00A13609" w:rsidRPr="00A13609" w:rsidRDefault="00A13609" w:rsidP="00A13609">
            <w:pPr>
              <w:jc w:val="left"/>
              <w:rPr>
                <w:rFonts w:ascii="Calibri" w:hAnsi="Calibri" w:cs="Arial"/>
                <w:lang w:eastAsia="en-GB"/>
              </w:rPr>
            </w:pPr>
          </w:p>
        </w:tc>
        <w:tc>
          <w:tcPr>
            <w:tcW w:w="2252"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r>
              <w:rPr>
                <w:rFonts w:ascii="Calibri" w:hAnsi="Calibri" w:cs="Arial"/>
                <w:lang w:eastAsia="en-GB"/>
              </w:rPr>
              <w:t>199</w:t>
            </w:r>
            <w:r w:rsidRPr="00A13609">
              <w:rPr>
                <w:rFonts w:ascii="Calibri" w:hAnsi="Calibri" w:cs="Arial"/>
                <w:lang w:eastAsia="en-GB"/>
              </w:rPr>
              <w:t xml:space="preserve"> </w:t>
            </w:r>
          </w:p>
        </w:tc>
        <w:tc>
          <w:tcPr>
            <w:tcW w:w="1575"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r w:rsidRPr="00A13609">
              <w:rPr>
                <w:rFonts w:ascii="Calibri" w:hAnsi="Calibri" w:cs="Arial"/>
                <w:lang w:eastAsia="en-GB"/>
              </w:rPr>
              <w:t>9</w:t>
            </w:r>
            <w:r>
              <w:rPr>
                <w:rFonts w:ascii="Calibri" w:hAnsi="Calibri" w:cs="Arial"/>
                <w:lang w:eastAsia="en-GB"/>
              </w:rPr>
              <w:t>77</w:t>
            </w:r>
            <w:r w:rsidRPr="00A13609">
              <w:rPr>
                <w:rFonts w:ascii="Calibri" w:hAnsi="Calibri" w:cs="Arial"/>
                <w:lang w:eastAsia="en-GB"/>
              </w:rPr>
              <w:t xml:space="preserve"> </w:t>
            </w:r>
          </w:p>
        </w:tc>
      </w:tr>
      <w:tr w:rsidR="00A13609" w:rsidRPr="00A13609" w:rsidTr="006A44C0">
        <w:trPr>
          <w:trHeight w:val="115"/>
        </w:trPr>
        <w:tc>
          <w:tcPr>
            <w:tcW w:w="3631" w:type="dxa"/>
            <w:tcBorders>
              <w:top w:val="nil"/>
              <w:left w:val="nil"/>
              <w:bottom w:val="nil"/>
              <w:right w:val="nil"/>
            </w:tcBorders>
            <w:shd w:val="clear" w:color="auto" w:fill="auto"/>
            <w:noWrap/>
            <w:vAlign w:val="bottom"/>
            <w:hideMark/>
          </w:tcPr>
          <w:p w:rsidR="00A13609" w:rsidRPr="00A13609" w:rsidRDefault="00A13609" w:rsidP="00A13609">
            <w:pPr>
              <w:jc w:val="left"/>
              <w:rPr>
                <w:rFonts w:ascii="Calibri" w:hAnsi="Calibri" w:cs="Arial"/>
                <w:lang w:eastAsia="en-GB"/>
              </w:rPr>
            </w:pPr>
            <w:r w:rsidRPr="00A13609">
              <w:rPr>
                <w:rFonts w:ascii="Calibri" w:hAnsi="Calibri" w:cs="Arial"/>
                <w:lang w:eastAsia="en-GB"/>
              </w:rPr>
              <w:t xml:space="preserve">Depreciation </w:t>
            </w:r>
          </w:p>
        </w:tc>
        <w:tc>
          <w:tcPr>
            <w:tcW w:w="2573" w:type="dxa"/>
            <w:tcBorders>
              <w:top w:val="nil"/>
              <w:left w:val="nil"/>
              <w:bottom w:val="nil"/>
              <w:right w:val="nil"/>
            </w:tcBorders>
            <w:shd w:val="clear" w:color="auto" w:fill="auto"/>
            <w:noWrap/>
            <w:vAlign w:val="bottom"/>
            <w:hideMark/>
          </w:tcPr>
          <w:p w:rsidR="00A13609" w:rsidRPr="00A13609" w:rsidRDefault="00A13609" w:rsidP="00A13609">
            <w:pPr>
              <w:jc w:val="left"/>
              <w:rPr>
                <w:rFonts w:ascii="Calibri" w:hAnsi="Calibri" w:cs="Arial"/>
                <w:lang w:eastAsia="en-GB"/>
              </w:rPr>
            </w:pPr>
          </w:p>
        </w:tc>
        <w:tc>
          <w:tcPr>
            <w:tcW w:w="2252"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r>
              <w:rPr>
                <w:rFonts w:ascii="Calibri" w:hAnsi="Calibri" w:cs="Arial"/>
                <w:lang w:eastAsia="en-GB"/>
              </w:rPr>
              <w:t>973</w:t>
            </w:r>
            <w:r w:rsidRPr="00A13609">
              <w:rPr>
                <w:rFonts w:ascii="Calibri" w:hAnsi="Calibri" w:cs="Arial"/>
                <w:lang w:eastAsia="en-GB"/>
              </w:rPr>
              <w:t xml:space="preserve"> </w:t>
            </w:r>
          </w:p>
        </w:tc>
        <w:tc>
          <w:tcPr>
            <w:tcW w:w="1575"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r>
              <w:rPr>
                <w:rFonts w:ascii="Calibri" w:hAnsi="Calibri" w:cs="Arial"/>
                <w:lang w:eastAsia="en-GB"/>
              </w:rPr>
              <w:t xml:space="preserve">       916</w:t>
            </w:r>
            <w:r w:rsidRPr="00A13609">
              <w:rPr>
                <w:rFonts w:ascii="Calibri" w:hAnsi="Calibri" w:cs="Arial"/>
                <w:lang w:eastAsia="en-GB"/>
              </w:rPr>
              <w:t xml:space="preserve"> </w:t>
            </w:r>
          </w:p>
        </w:tc>
      </w:tr>
      <w:tr w:rsidR="00A13609" w:rsidRPr="00A13609" w:rsidTr="006A44C0">
        <w:trPr>
          <w:trHeight w:val="115"/>
        </w:trPr>
        <w:tc>
          <w:tcPr>
            <w:tcW w:w="3631" w:type="dxa"/>
            <w:tcBorders>
              <w:top w:val="nil"/>
              <w:left w:val="nil"/>
              <w:bottom w:val="nil"/>
              <w:right w:val="nil"/>
            </w:tcBorders>
            <w:shd w:val="clear" w:color="auto" w:fill="auto"/>
            <w:noWrap/>
            <w:vAlign w:val="bottom"/>
            <w:hideMark/>
          </w:tcPr>
          <w:p w:rsidR="00A13609" w:rsidRPr="00A13609" w:rsidRDefault="00A13609" w:rsidP="00A13609">
            <w:pPr>
              <w:jc w:val="left"/>
              <w:rPr>
                <w:rFonts w:ascii="Calibri" w:hAnsi="Calibri" w:cs="Arial"/>
                <w:lang w:eastAsia="en-GB"/>
              </w:rPr>
            </w:pPr>
            <w:r w:rsidRPr="00A13609">
              <w:rPr>
                <w:rFonts w:ascii="Calibri" w:hAnsi="Calibri" w:cs="Arial"/>
                <w:lang w:eastAsia="en-GB"/>
              </w:rPr>
              <w:t>Amortisation</w:t>
            </w:r>
          </w:p>
        </w:tc>
        <w:tc>
          <w:tcPr>
            <w:tcW w:w="2573" w:type="dxa"/>
            <w:tcBorders>
              <w:top w:val="nil"/>
              <w:left w:val="nil"/>
              <w:bottom w:val="nil"/>
              <w:right w:val="nil"/>
            </w:tcBorders>
            <w:shd w:val="clear" w:color="auto" w:fill="auto"/>
            <w:noWrap/>
            <w:vAlign w:val="bottom"/>
            <w:hideMark/>
          </w:tcPr>
          <w:p w:rsidR="00A13609" w:rsidRPr="00A13609" w:rsidRDefault="00A13609" w:rsidP="00A13609">
            <w:pPr>
              <w:jc w:val="left"/>
              <w:rPr>
                <w:rFonts w:ascii="Calibri" w:hAnsi="Calibri" w:cs="Arial"/>
                <w:lang w:eastAsia="en-GB"/>
              </w:rPr>
            </w:pPr>
          </w:p>
        </w:tc>
        <w:tc>
          <w:tcPr>
            <w:tcW w:w="2252"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r w:rsidRPr="00A13609">
              <w:rPr>
                <w:rFonts w:ascii="Calibri" w:hAnsi="Calibri" w:cs="Arial"/>
                <w:lang w:eastAsia="en-GB"/>
              </w:rPr>
              <w:t xml:space="preserve">2 </w:t>
            </w:r>
          </w:p>
        </w:tc>
        <w:tc>
          <w:tcPr>
            <w:tcW w:w="1575"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r w:rsidRPr="00A13609">
              <w:rPr>
                <w:rFonts w:ascii="Calibri" w:hAnsi="Calibri" w:cs="Arial"/>
                <w:lang w:eastAsia="en-GB"/>
              </w:rPr>
              <w:t xml:space="preserve">            </w:t>
            </w:r>
            <w:r>
              <w:rPr>
                <w:rFonts w:ascii="Calibri" w:hAnsi="Calibri" w:cs="Arial"/>
                <w:lang w:eastAsia="en-GB"/>
              </w:rPr>
              <w:t xml:space="preserve">  2</w:t>
            </w:r>
            <w:r w:rsidRPr="00A13609">
              <w:rPr>
                <w:rFonts w:ascii="Calibri" w:hAnsi="Calibri" w:cs="Arial"/>
                <w:lang w:eastAsia="en-GB"/>
              </w:rPr>
              <w:t xml:space="preserve"> </w:t>
            </w:r>
          </w:p>
        </w:tc>
      </w:tr>
      <w:tr w:rsidR="00A13609" w:rsidRPr="00A13609" w:rsidTr="006A44C0">
        <w:trPr>
          <w:trHeight w:val="115"/>
        </w:trPr>
        <w:tc>
          <w:tcPr>
            <w:tcW w:w="6204" w:type="dxa"/>
            <w:gridSpan w:val="2"/>
            <w:tcBorders>
              <w:top w:val="nil"/>
              <w:left w:val="nil"/>
              <w:bottom w:val="nil"/>
              <w:right w:val="nil"/>
            </w:tcBorders>
            <w:shd w:val="clear" w:color="auto" w:fill="auto"/>
            <w:noWrap/>
            <w:vAlign w:val="bottom"/>
            <w:hideMark/>
          </w:tcPr>
          <w:p w:rsidR="00A13609" w:rsidRPr="00A13609" w:rsidRDefault="00A13609" w:rsidP="00A13609">
            <w:pPr>
              <w:rPr>
                <w:rFonts w:ascii="Calibri" w:hAnsi="Calibri" w:cs="Arial"/>
                <w:lang w:eastAsia="en-GB"/>
              </w:rPr>
            </w:pPr>
            <w:r w:rsidRPr="00A13609">
              <w:rPr>
                <w:rFonts w:ascii="Calibri" w:hAnsi="Calibri" w:cs="Arial"/>
                <w:lang w:eastAsia="en-GB"/>
              </w:rPr>
              <w:t>Provision for impairment of investments</w:t>
            </w:r>
          </w:p>
        </w:tc>
        <w:tc>
          <w:tcPr>
            <w:tcW w:w="2252"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r>
              <w:rPr>
                <w:rFonts w:ascii="Calibri" w:hAnsi="Calibri" w:cs="Arial"/>
                <w:lang w:eastAsia="en-GB"/>
              </w:rPr>
              <w:t>-</w:t>
            </w:r>
            <w:r w:rsidRPr="00A13609">
              <w:rPr>
                <w:rFonts w:ascii="Calibri" w:hAnsi="Calibri" w:cs="Arial"/>
                <w:lang w:eastAsia="en-GB"/>
              </w:rPr>
              <w:t xml:space="preserve"> </w:t>
            </w:r>
          </w:p>
        </w:tc>
        <w:tc>
          <w:tcPr>
            <w:tcW w:w="1575"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r w:rsidRPr="00A13609">
              <w:rPr>
                <w:rFonts w:ascii="Calibri" w:hAnsi="Calibri" w:cs="Arial"/>
                <w:lang w:eastAsia="en-GB"/>
              </w:rPr>
              <w:t xml:space="preserve">28 </w:t>
            </w:r>
          </w:p>
        </w:tc>
      </w:tr>
      <w:tr w:rsidR="00A13609" w:rsidRPr="00A13609" w:rsidTr="006A44C0">
        <w:trPr>
          <w:trHeight w:val="115"/>
        </w:trPr>
        <w:tc>
          <w:tcPr>
            <w:tcW w:w="6204" w:type="dxa"/>
            <w:gridSpan w:val="2"/>
            <w:tcBorders>
              <w:top w:val="nil"/>
              <w:left w:val="nil"/>
              <w:bottom w:val="nil"/>
              <w:right w:val="nil"/>
            </w:tcBorders>
            <w:shd w:val="clear" w:color="auto" w:fill="auto"/>
            <w:noWrap/>
            <w:vAlign w:val="bottom"/>
            <w:hideMark/>
          </w:tcPr>
          <w:p w:rsidR="00A13609" w:rsidRPr="00A13609" w:rsidRDefault="00A13609" w:rsidP="00A13609">
            <w:pPr>
              <w:rPr>
                <w:rFonts w:ascii="Calibri" w:hAnsi="Calibri" w:cs="Arial"/>
                <w:lang w:eastAsia="en-GB"/>
              </w:rPr>
            </w:pPr>
            <w:r w:rsidRPr="00A13609">
              <w:rPr>
                <w:rFonts w:ascii="Calibri" w:hAnsi="Calibri" w:cs="Arial"/>
                <w:lang w:eastAsia="en-GB"/>
              </w:rPr>
              <w:t>Market value adjustment of Intangible assets</w:t>
            </w:r>
          </w:p>
        </w:tc>
        <w:tc>
          <w:tcPr>
            <w:tcW w:w="2252"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r>
              <w:rPr>
                <w:rFonts w:ascii="Calibri" w:hAnsi="Calibri" w:cs="Arial"/>
                <w:lang w:eastAsia="en-GB"/>
              </w:rPr>
              <w:t>(40)</w:t>
            </w:r>
            <w:r w:rsidRPr="00A13609">
              <w:rPr>
                <w:rFonts w:ascii="Calibri" w:hAnsi="Calibri" w:cs="Arial"/>
                <w:lang w:eastAsia="en-GB"/>
              </w:rPr>
              <w:t xml:space="preserve"> </w:t>
            </w:r>
          </w:p>
        </w:tc>
        <w:tc>
          <w:tcPr>
            <w:tcW w:w="1575"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r w:rsidRPr="00A13609">
              <w:rPr>
                <w:rFonts w:ascii="Calibri" w:hAnsi="Calibri" w:cs="Arial"/>
                <w:lang w:eastAsia="en-GB"/>
              </w:rPr>
              <w:t xml:space="preserve">28 </w:t>
            </w:r>
          </w:p>
        </w:tc>
      </w:tr>
      <w:tr w:rsidR="00A13609" w:rsidRPr="00A13609" w:rsidTr="006A44C0">
        <w:trPr>
          <w:trHeight w:val="115"/>
        </w:trPr>
        <w:tc>
          <w:tcPr>
            <w:tcW w:w="6204" w:type="dxa"/>
            <w:gridSpan w:val="2"/>
            <w:tcBorders>
              <w:top w:val="nil"/>
              <w:left w:val="nil"/>
              <w:bottom w:val="nil"/>
              <w:right w:val="nil"/>
            </w:tcBorders>
            <w:shd w:val="clear" w:color="auto" w:fill="auto"/>
            <w:noWrap/>
            <w:vAlign w:val="bottom"/>
            <w:hideMark/>
          </w:tcPr>
          <w:p w:rsidR="00A13609" w:rsidRPr="00A13609" w:rsidRDefault="00A13609" w:rsidP="00A13609">
            <w:pPr>
              <w:rPr>
                <w:rFonts w:ascii="Calibri" w:hAnsi="Calibri" w:cs="Arial"/>
                <w:lang w:eastAsia="en-GB"/>
              </w:rPr>
            </w:pPr>
            <w:r w:rsidRPr="00A13609">
              <w:rPr>
                <w:rFonts w:ascii="Calibri" w:hAnsi="Calibri" w:cs="Arial"/>
                <w:lang w:eastAsia="en-GB"/>
              </w:rPr>
              <w:t>Share based payment charge</w:t>
            </w:r>
          </w:p>
        </w:tc>
        <w:tc>
          <w:tcPr>
            <w:tcW w:w="2252"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r>
              <w:rPr>
                <w:rFonts w:ascii="Calibri" w:hAnsi="Calibri" w:cs="Arial"/>
                <w:lang w:eastAsia="en-GB"/>
              </w:rPr>
              <w:t xml:space="preserve">            33</w:t>
            </w:r>
            <w:r w:rsidRPr="00A13609">
              <w:rPr>
                <w:rFonts w:ascii="Calibri" w:hAnsi="Calibri" w:cs="Arial"/>
                <w:lang w:eastAsia="en-GB"/>
              </w:rPr>
              <w:t xml:space="preserve"> </w:t>
            </w:r>
          </w:p>
        </w:tc>
        <w:tc>
          <w:tcPr>
            <w:tcW w:w="1575"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r w:rsidRPr="00A13609">
              <w:rPr>
                <w:rFonts w:ascii="Calibri" w:hAnsi="Calibri" w:cs="Arial"/>
                <w:lang w:eastAsia="en-GB"/>
              </w:rPr>
              <w:t xml:space="preserve">            30 </w:t>
            </w:r>
          </w:p>
        </w:tc>
      </w:tr>
      <w:tr w:rsidR="00A13609" w:rsidRPr="00A13609" w:rsidTr="006A44C0">
        <w:trPr>
          <w:trHeight w:val="115"/>
        </w:trPr>
        <w:tc>
          <w:tcPr>
            <w:tcW w:w="3631"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c>
          <w:tcPr>
            <w:tcW w:w="2573"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c>
          <w:tcPr>
            <w:tcW w:w="2252" w:type="dxa"/>
            <w:tcBorders>
              <w:top w:val="nil"/>
              <w:left w:val="nil"/>
              <w:bottom w:val="single" w:sz="4" w:space="0" w:color="auto"/>
              <w:right w:val="nil"/>
            </w:tcBorders>
            <w:shd w:val="clear" w:color="auto" w:fill="auto"/>
            <w:noWrap/>
            <w:vAlign w:val="bottom"/>
            <w:hideMark/>
          </w:tcPr>
          <w:p w:rsidR="00A13609" w:rsidRPr="00A13609" w:rsidRDefault="00A13609" w:rsidP="00A13609">
            <w:pPr>
              <w:jc w:val="right"/>
              <w:rPr>
                <w:rFonts w:ascii="Calibri" w:hAnsi="Calibri" w:cs="Arial"/>
                <w:lang w:eastAsia="en-GB"/>
              </w:rPr>
            </w:pPr>
            <w:r w:rsidRPr="00A13609">
              <w:rPr>
                <w:rFonts w:ascii="Calibri" w:hAnsi="Calibri" w:cs="Arial"/>
                <w:lang w:eastAsia="en-GB"/>
              </w:rPr>
              <w:t> </w:t>
            </w:r>
          </w:p>
        </w:tc>
        <w:tc>
          <w:tcPr>
            <w:tcW w:w="1575" w:type="dxa"/>
            <w:tcBorders>
              <w:top w:val="nil"/>
              <w:left w:val="nil"/>
              <w:bottom w:val="single" w:sz="4" w:space="0" w:color="auto"/>
              <w:right w:val="nil"/>
            </w:tcBorders>
            <w:shd w:val="clear" w:color="auto" w:fill="auto"/>
            <w:noWrap/>
            <w:vAlign w:val="bottom"/>
            <w:hideMark/>
          </w:tcPr>
          <w:p w:rsidR="00A13609" w:rsidRPr="00A13609" w:rsidRDefault="00A13609" w:rsidP="00A13609">
            <w:pPr>
              <w:jc w:val="right"/>
              <w:rPr>
                <w:rFonts w:ascii="Calibri" w:hAnsi="Calibri" w:cs="Arial"/>
                <w:lang w:eastAsia="en-GB"/>
              </w:rPr>
            </w:pPr>
            <w:r w:rsidRPr="00A13609">
              <w:rPr>
                <w:rFonts w:ascii="Calibri" w:hAnsi="Calibri" w:cs="Arial"/>
                <w:lang w:eastAsia="en-GB"/>
              </w:rPr>
              <w:t> </w:t>
            </w:r>
          </w:p>
        </w:tc>
      </w:tr>
      <w:tr w:rsidR="00A13609" w:rsidRPr="00A13609" w:rsidTr="006A44C0">
        <w:trPr>
          <w:trHeight w:val="115"/>
        </w:trPr>
        <w:tc>
          <w:tcPr>
            <w:tcW w:w="3631"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c>
          <w:tcPr>
            <w:tcW w:w="2573"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c>
          <w:tcPr>
            <w:tcW w:w="2252"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c>
          <w:tcPr>
            <w:tcW w:w="1575"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r>
      <w:tr w:rsidR="00A13609" w:rsidRPr="00A13609" w:rsidTr="006A44C0">
        <w:trPr>
          <w:trHeight w:val="115"/>
        </w:trPr>
        <w:tc>
          <w:tcPr>
            <w:tcW w:w="6204" w:type="dxa"/>
            <w:gridSpan w:val="2"/>
            <w:tcBorders>
              <w:top w:val="nil"/>
              <w:left w:val="nil"/>
              <w:bottom w:val="nil"/>
              <w:right w:val="nil"/>
            </w:tcBorders>
            <w:shd w:val="clear" w:color="auto" w:fill="auto"/>
            <w:noWrap/>
            <w:vAlign w:val="bottom"/>
            <w:hideMark/>
          </w:tcPr>
          <w:p w:rsidR="00A13609" w:rsidRPr="00A13609" w:rsidRDefault="00A13609" w:rsidP="00A13609">
            <w:pPr>
              <w:rPr>
                <w:rFonts w:ascii="Calibri" w:hAnsi="Calibri" w:cs="Arial"/>
                <w:b/>
                <w:bCs/>
                <w:lang w:eastAsia="en-GB"/>
              </w:rPr>
            </w:pPr>
            <w:r w:rsidRPr="00A13609">
              <w:rPr>
                <w:rFonts w:ascii="Calibri" w:hAnsi="Calibri" w:cs="Arial"/>
                <w:b/>
                <w:bCs/>
                <w:lang w:eastAsia="en-GB"/>
              </w:rPr>
              <w:t>Cash flows from operations before changes in working capital</w:t>
            </w:r>
          </w:p>
        </w:tc>
        <w:tc>
          <w:tcPr>
            <w:tcW w:w="2252"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r>
              <w:rPr>
                <w:rFonts w:ascii="Calibri" w:hAnsi="Calibri" w:cs="Arial"/>
                <w:lang w:eastAsia="en-GB"/>
              </w:rPr>
              <w:t>3,752</w:t>
            </w:r>
            <w:r w:rsidRPr="00A13609">
              <w:rPr>
                <w:rFonts w:ascii="Calibri" w:hAnsi="Calibri" w:cs="Arial"/>
                <w:lang w:eastAsia="en-GB"/>
              </w:rPr>
              <w:t xml:space="preserve"> </w:t>
            </w:r>
          </w:p>
        </w:tc>
        <w:tc>
          <w:tcPr>
            <w:tcW w:w="1575"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r w:rsidRPr="00A13609">
              <w:rPr>
                <w:rFonts w:ascii="Calibri" w:hAnsi="Calibri" w:cs="Arial"/>
                <w:lang w:eastAsia="en-GB"/>
              </w:rPr>
              <w:t xml:space="preserve">1,512 </w:t>
            </w:r>
          </w:p>
        </w:tc>
      </w:tr>
      <w:tr w:rsidR="00A13609" w:rsidRPr="00A13609" w:rsidTr="006A44C0">
        <w:trPr>
          <w:trHeight w:val="115"/>
        </w:trPr>
        <w:tc>
          <w:tcPr>
            <w:tcW w:w="3631"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c>
          <w:tcPr>
            <w:tcW w:w="2573"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c>
          <w:tcPr>
            <w:tcW w:w="2252"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color w:val="000000"/>
                <w:lang w:eastAsia="en-GB"/>
              </w:rPr>
            </w:pPr>
          </w:p>
        </w:tc>
        <w:tc>
          <w:tcPr>
            <w:tcW w:w="1575"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r>
      <w:tr w:rsidR="00A13609" w:rsidRPr="00A13609" w:rsidTr="006A44C0">
        <w:trPr>
          <w:trHeight w:val="115"/>
        </w:trPr>
        <w:tc>
          <w:tcPr>
            <w:tcW w:w="3631" w:type="dxa"/>
            <w:tcBorders>
              <w:top w:val="nil"/>
              <w:left w:val="nil"/>
              <w:bottom w:val="nil"/>
              <w:right w:val="nil"/>
            </w:tcBorders>
            <w:shd w:val="clear" w:color="auto" w:fill="auto"/>
            <w:noWrap/>
            <w:vAlign w:val="bottom"/>
            <w:hideMark/>
          </w:tcPr>
          <w:p w:rsidR="00A13609" w:rsidRPr="00A13609" w:rsidRDefault="00A13609" w:rsidP="00A13609">
            <w:pPr>
              <w:rPr>
                <w:rFonts w:ascii="Calibri" w:hAnsi="Calibri" w:cs="Arial"/>
                <w:lang w:eastAsia="en-GB"/>
              </w:rPr>
            </w:pPr>
            <w:r w:rsidRPr="00A13609">
              <w:rPr>
                <w:rFonts w:ascii="Calibri" w:hAnsi="Calibri" w:cs="Arial"/>
                <w:lang w:eastAsia="en-GB"/>
              </w:rPr>
              <w:t>Decrease in inventories</w:t>
            </w:r>
          </w:p>
        </w:tc>
        <w:tc>
          <w:tcPr>
            <w:tcW w:w="2573"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c>
          <w:tcPr>
            <w:tcW w:w="2252"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color w:val="000000"/>
                <w:lang w:eastAsia="en-GB"/>
              </w:rPr>
            </w:pPr>
            <w:r w:rsidRPr="00A13609">
              <w:rPr>
                <w:rFonts w:ascii="Calibri" w:hAnsi="Calibri" w:cs="Arial"/>
                <w:color w:val="000000"/>
                <w:lang w:eastAsia="en-GB"/>
              </w:rPr>
              <w:t>25</w:t>
            </w:r>
            <w:r>
              <w:rPr>
                <w:rFonts w:ascii="Calibri" w:hAnsi="Calibri" w:cs="Arial"/>
                <w:color w:val="000000"/>
                <w:lang w:eastAsia="en-GB"/>
              </w:rPr>
              <w:t>0</w:t>
            </w:r>
            <w:r w:rsidRPr="00A13609">
              <w:rPr>
                <w:rFonts w:ascii="Calibri" w:hAnsi="Calibri" w:cs="Arial"/>
                <w:color w:val="000000"/>
                <w:lang w:eastAsia="en-GB"/>
              </w:rPr>
              <w:t xml:space="preserve"> </w:t>
            </w:r>
          </w:p>
        </w:tc>
        <w:tc>
          <w:tcPr>
            <w:tcW w:w="1575"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r>
              <w:rPr>
                <w:rFonts w:ascii="Calibri" w:hAnsi="Calibri" w:cs="Arial"/>
                <w:lang w:eastAsia="en-GB"/>
              </w:rPr>
              <w:t>2,151</w:t>
            </w:r>
            <w:r w:rsidRPr="00A13609">
              <w:rPr>
                <w:rFonts w:ascii="Calibri" w:hAnsi="Calibri" w:cs="Arial"/>
                <w:lang w:eastAsia="en-GB"/>
              </w:rPr>
              <w:t xml:space="preserve"> </w:t>
            </w:r>
          </w:p>
        </w:tc>
      </w:tr>
      <w:tr w:rsidR="00A13609" w:rsidRPr="00A13609" w:rsidTr="006A44C0">
        <w:trPr>
          <w:trHeight w:val="115"/>
        </w:trPr>
        <w:tc>
          <w:tcPr>
            <w:tcW w:w="6204" w:type="dxa"/>
            <w:gridSpan w:val="2"/>
            <w:tcBorders>
              <w:top w:val="nil"/>
              <w:left w:val="nil"/>
              <w:bottom w:val="nil"/>
              <w:right w:val="nil"/>
            </w:tcBorders>
            <w:shd w:val="clear" w:color="auto" w:fill="auto"/>
            <w:noWrap/>
            <w:vAlign w:val="bottom"/>
            <w:hideMark/>
          </w:tcPr>
          <w:p w:rsidR="00A13609" w:rsidRPr="00A13609" w:rsidRDefault="00A13609" w:rsidP="00A13609">
            <w:pPr>
              <w:rPr>
                <w:rFonts w:ascii="Calibri" w:hAnsi="Calibri" w:cs="Arial"/>
                <w:lang w:eastAsia="en-GB"/>
              </w:rPr>
            </w:pPr>
            <w:r w:rsidRPr="00A13609">
              <w:rPr>
                <w:rFonts w:ascii="Calibri" w:hAnsi="Calibri" w:cs="Arial"/>
                <w:lang w:eastAsia="en-GB"/>
              </w:rPr>
              <w:t>Increase in receivables</w:t>
            </w:r>
          </w:p>
        </w:tc>
        <w:tc>
          <w:tcPr>
            <w:tcW w:w="2252"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color w:val="000000"/>
                <w:lang w:eastAsia="en-GB"/>
              </w:rPr>
            </w:pPr>
            <w:r w:rsidRPr="00A13609">
              <w:rPr>
                <w:rFonts w:ascii="Calibri" w:hAnsi="Calibri" w:cs="Arial"/>
                <w:color w:val="000000"/>
                <w:lang w:eastAsia="en-GB"/>
              </w:rPr>
              <w:t>(</w:t>
            </w:r>
            <w:r>
              <w:rPr>
                <w:rFonts w:ascii="Calibri" w:hAnsi="Calibri" w:cs="Arial"/>
                <w:color w:val="000000"/>
                <w:lang w:eastAsia="en-GB"/>
              </w:rPr>
              <w:t>1,</w:t>
            </w:r>
            <w:r w:rsidRPr="00A13609">
              <w:rPr>
                <w:rFonts w:ascii="Calibri" w:hAnsi="Calibri" w:cs="Arial"/>
                <w:color w:val="000000"/>
                <w:lang w:eastAsia="en-GB"/>
              </w:rPr>
              <w:t>2</w:t>
            </w:r>
            <w:r>
              <w:rPr>
                <w:rFonts w:ascii="Calibri" w:hAnsi="Calibri" w:cs="Arial"/>
                <w:color w:val="000000"/>
                <w:lang w:eastAsia="en-GB"/>
              </w:rPr>
              <w:t>19</w:t>
            </w:r>
            <w:r w:rsidRPr="00A13609">
              <w:rPr>
                <w:rFonts w:ascii="Calibri" w:hAnsi="Calibri" w:cs="Arial"/>
                <w:color w:val="000000"/>
                <w:lang w:eastAsia="en-GB"/>
              </w:rPr>
              <w:t>)</w:t>
            </w:r>
          </w:p>
        </w:tc>
        <w:tc>
          <w:tcPr>
            <w:tcW w:w="1575"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color w:val="000000"/>
                <w:lang w:eastAsia="en-GB"/>
              </w:rPr>
            </w:pPr>
            <w:r w:rsidRPr="00A13609">
              <w:rPr>
                <w:rFonts w:ascii="Calibri" w:hAnsi="Calibri" w:cs="Arial"/>
                <w:color w:val="000000"/>
                <w:lang w:eastAsia="en-GB"/>
              </w:rPr>
              <w:t>(232)</w:t>
            </w:r>
          </w:p>
        </w:tc>
      </w:tr>
      <w:tr w:rsidR="00A13609" w:rsidRPr="00A13609" w:rsidTr="006A44C0">
        <w:trPr>
          <w:trHeight w:val="115"/>
        </w:trPr>
        <w:tc>
          <w:tcPr>
            <w:tcW w:w="6204" w:type="dxa"/>
            <w:gridSpan w:val="2"/>
            <w:tcBorders>
              <w:top w:val="nil"/>
              <w:left w:val="nil"/>
              <w:bottom w:val="nil"/>
              <w:right w:val="nil"/>
            </w:tcBorders>
            <w:shd w:val="clear" w:color="auto" w:fill="auto"/>
            <w:noWrap/>
            <w:vAlign w:val="bottom"/>
            <w:hideMark/>
          </w:tcPr>
          <w:p w:rsidR="00A13609" w:rsidRPr="00A13609" w:rsidRDefault="00A13609" w:rsidP="00A13609">
            <w:pPr>
              <w:rPr>
                <w:rFonts w:ascii="Calibri" w:hAnsi="Calibri" w:cs="Arial"/>
                <w:lang w:eastAsia="en-GB"/>
              </w:rPr>
            </w:pPr>
            <w:r>
              <w:rPr>
                <w:rFonts w:ascii="Calibri" w:hAnsi="Calibri" w:cs="Arial"/>
                <w:lang w:eastAsia="en-GB"/>
              </w:rPr>
              <w:t>(De</w:t>
            </w:r>
            <w:r w:rsidRPr="00A13609">
              <w:rPr>
                <w:rFonts w:ascii="Calibri" w:hAnsi="Calibri" w:cs="Arial"/>
                <w:lang w:eastAsia="en-GB"/>
              </w:rPr>
              <w:t>crease</w:t>
            </w:r>
            <w:r>
              <w:rPr>
                <w:rFonts w:ascii="Calibri" w:hAnsi="Calibri" w:cs="Arial"/>
                <w:lang w:eastAsia="en-GB"/>
              </w:rPr>
              <w:t>)/in</w:t>
            </w:r>
            <w:r w:rsidRPr="00A13609">
              <w:rPr>
                <w:rFonts w:ascii="Calibri" w:hAnsi="Calibri" w:cs="Arial"/>
                <w:lang w:eastAsia="en-GB"/>
              </w:rPr>
              <w:t>crease in payables</w:t>
            </w:r>
          </w:p>
        </w:tc>
        <w:tc>
          <w:tcPr>
            <w:tcW w:w="2252" w:type="dxa"/>
            <w:tcBorders>
              <w:top w:val="nil"/>
              <w:left w:val="nil"/>
              <w:bottom w:val="single" w:sz="4" w:space="0" w:color="auto"/>
              <w:right w:val="nil"/>
            </w:tcBorders>
            <w:shd w:val="clear" w:color="auto" w:fill="auto"/>
            <w:noWrap/>
            <w:vAlign w:val="bottom"/>
            <w:hideMark/>
          </w:tcPr>
          <w:p w:rsidR="00A13609" w:rsidRPr="00A13609" w:rsidRDefault="00A13609" w:rsidP="00A13609">
            <w:pPr>
              <w:jc w:val="right"/>
              <w:rPr>
                <w:rFonts w:ascii="Calibri" w:hAnsi="Calibri" w:cs="Arial"/>
                <w:color w:val="000000"/>
                <w:lang w:eastAsia="en-GB"/>
              </w:rPr>
            </w:pPr>
            <w:r>
              <w:rPr>
                <w:rFonts w:ascii="Calibri" w:hAnsi="Calibri" w:cs="Arial"/>
                <w:color w:val="000000"/>
                <w:lang w:eastAsia="en-GB"/>
              </w:rPr>
              <w:t>(177)</w:t>
            </w:r>
            <w:r w:rsidRPr="00A13609">
              <w:rPr>
                <w:rFonts w:ascii="Calibri" w:hAnsi="Calibri" w:cs="Arial"/>
                <w:color w:val="000000"/>
                <w:lang w:eastAsia="en-GB"/>
              </w:rPr>
              <w:t xml:space="preserve"> </w:t>
            </w:r>
          </w:p>
        </w:tc>
        <w:tc>
          <w:tcPr>
            <w:tcW w:w="1575" w:type="dxa"/>
            <w:tcBorders>
              <w:top w:val="nil"/>
              <w:left w:val="nil"/>
              <w:bottom w:val="single" w:sz="4" w:space="0" w:color="auto"/>
              <w:right w:val="nil"/>
            </w:tcBorders>
            <w:shd w:val="clear" w:color="auto" w:fill="auto"/>
            <w:noWrap/>
            <w:vAlign w:val="bottom"/>
            <w:hideMark/>
          </w:tcPr>
          <w:p w:rsidR="00A13609" w:rsidRPr="00A13609" w:rsidRDefault="00A13609" w:rsidP="00A13609">
            <w:pPr>
              <w:jc w:val="right"/>
              <w:rPr>
                <w:rFonts w:ascii="Calibri" w:hAnsi="Calibri" w:cs="Arial"/>
                <w:color w:val="000000"/>
                <w:lang w:eastAsia="en-GB"/>
              </w:rPr>
            </w:pPr>
            <w:r w:rsidRPr="00A13609">
              <w:rPr>
                <w:rFonts w:ascii="Calibri" w:hAnsi="Calibri" w:cs="Arial"/>
                <w:color w:val="000000"/>
                <w:lang w:eastAsia="en-GB"/>
              </w:rPr>
              <w:t xml:space="preserve">1,340 </w:t>
            </w:r>
          </w:p>
        </w:tc>
      </w:tr>
      <w:tr w:rsidR="00A13609" w:rsidRPr="00A13609" w:rsidTr="006A44C0">
        <w:trPr>
          <w:trHeight w:val="115"/>
        </w:trPr>
        <w:tc>
          <w:tcPr>
            <w:tcW w:w="3631"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c>
          <w:tcPr>
            <w:tcW w:w="2573"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c>
          <w:tcPr>
            <w:tcW w:w="2252"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color w:val="000000"/>
                <w:lang w:eastAsia="en-GB"/>
              </w:rPr>
            </w:pPr>
          </w:p>
        </w:tc>
        <w:tc>
          <w:tcPr>
            <w:tcW w:w="1575"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r>
      <w:tr w:rsidR="00A13609" w:rsidRPr="00A13609" w:rsidTr="006A44C0">
        <w:trPr>
          <w:trHeight w:val="115"/>
        </w:trPr>
        <w:tc>
          <w:tcPr>
            <w:tcW w:w="6204" w:type="dxa"/>
            <w:gridSpan w:val="2"/>
            <w:tcBorders>
              <w:top w:val="nil"/>
              <w:left w:val="nil"/>
              <w:bottom w:val="nil"/>
              <w:right w:val="nil"/>
            </w:tcBorders>
            <w:shd w:val="clear" w:color="auto" w:fill="auto"/>
            <w:noWrap/>
            <w:vAlign w:val="bottom"/>
            <w:hideMark/>
          </w:tcPr>
          <w:p w:rsidR="00A13609" w:rsidRPr="00A13609" w:rsidRDefault="00A13609" w:rsidP="00A13609">
            <w:pPr>
              <w:rPr>
                <w:rFonts w:ascii="Calibri" w:hAnsi="Calibri" w:cs="Arial"/>
                <w:b/>
                <w:bCs/>
                <w:lang w:eastAsia="en-GB"/>
              </w:rPr>
            </w:pPr>
            <w:r w:rsidRPr="00A13609">
              <w:rPr>
                <w:rFonts w:ascii="Calibri" w:hAnsi="Calibri" w:cs="Arial"/>
                <w:b/>
                <w:bCs/>
                <w:lang w:eastAsia="en-GB"/>
              </w:rPr>
              <w:t>Net cash generated by operations</w:t>
            </w:r>
          </w:p>
        </w:tc>
        <w:tc>
          <w:tcPr>
            <w:tcW w:w="2252"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color w:val="000000"/>
                <w:lang w:eastAsia="en-GB"/>
              </w:rPr>
            </w:pPr>
            <w:r>
              <w:rPr>
                <w:rFonts w:ascii="Calibri" w:hAnsi="Calibri" w:cs="Arial"/>
                <w:color w:val="000000"/>
                <w:lang w:eastAsia="en-GB"/>
              </w:rPr>
              <w:t>2,606</w:t>
            </w:r>
            <w:r w:rsidRPr="00A13609">
              <w:rPr>
                <w:rFonts w:ascii="Calibri" w:hAnsi="Calibri" w:cs="Arial"/>
                <w:color w:val="000000"/>
                <w:lang w:eastAsia="en-GB"/>
              </w:rPr>
              <w:t xml:space="preserve"> </w:t>
            </w:r>
          </w:p>
        </w:tc>
        <w:tc>
          <w:tcPr>
            <w:tcW w:w="1575"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color w:val="000000"/>
                <w:lang w:eastAsia="en-GB"/>
              </w:rPr>
            </w:pPr>
            <w:r w:rsidRPr="00A13609">
              <w:rPr>
                <w:rFonts w:ascii="Calibri" w:hAnsi="Calibri" w:cs="Arial"/>
                <w:color w:val="000000"/>
                <w:lang w:eastAsia="en-GB"/>
              </w:rPr>
              <w:t xml:space="preserve">4,771 </w:t>
            </w:r>
          </w:p>
        </w:tc>
      </w:tr>
      <w:tr w:rsidR="00A13609" w:rsidRPr="00A13609" w:rsidTr="006A44C0">
        <w:trPr>
          <w:trHeight w:val="115"/>
        </w:trPr>
        <w:tc>
          <w:tcPr>
            <w:tcW w:w="3631"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c>
          <w:tcPr>
            <w:tcW w:w="2573"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c>
          <w:tcPr>
            <w:tcW w:w="2252"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color w:val="000000"/>
                <w:lang w:eastAsia="en-GB"/>
              </w:rPr>
            </w:pPr>
          </w:p>
        </w:tc>
        <w:tc>
          <w:tcPr>
            <w:tcW w:w="1575"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r>
      <w:tr w:rsidR="00A13609" w:rsidRPr="00A13609" w:rsidTr="006A44C0">
        <w:trPr>
          <w:trHeight w:val="115"/>
        </w:trPr>
        <w:tc>
          <w:tcPr>
            <w:tcW w:w="3631" w:type="dxa"/>
            <w:tcBorders>
              <w:top w:val="nil"/>
              <w:left w:val="nil"/>
              <w:bottom w:val="nil"/>
              <w:right w:val="nil"/>
            </w:tcBorders>
            <w:shd w:val="clear" w:color="auto" w:fill="auto"/>
            <w:noWrap/>
            <w:vAlign w:val="bottom"/>
            <w:hideMark/>
          </w:tcPr>
          <w:p w:rsidR="00A13609" w:rsidRPr="00A13609" w:rsidRDefault="00A13609" w:rsidP="00A13609">
            <w:pPr>
              <w:rPr>
                <w:rFonts w:ascii="Calibri" w:hAnsi="Calibri" w:cs="Arial"/>
                <w:lang w:eastAsia="en-GB"/>
              </w:rPr>
            </w:pPr>
            <w:r w:rsidRPr="00A13609">
              <w:rPr>
                <w:rFonts w:ascii="Calibri" w:hAnsi="Calibri" w:cs="Arial"/>
                <w:lang w:eastAsia="en-GB"/>
              </w:rPr>
              <w:t>Taxation paid</w:t>
            </w:r>
          </w:p>
        </w:tc>
        <w:tc>
          <w:tcPr>
            <w:tcW w:w="2573"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c>
          <w:tcPr>
            <w:tcW w:w="2252"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color w:val="000000"/>
                <w:lang w:eastAsia="en-GB"/>
              </w:rPr>
            </w:pPr>
            <w:r>
              <w:rPr>
                <w:rFonts w:ascii="Calibri" w:hAnsi="Calibri" w:cs="Arial"/>
                <w:color w:val="000000"/>
                <w:lang w:eastAsia="en-GB"/>
              </w:rPr>
              <w:t>-</w:t>
            </w:r>
          </w:p>
        </w:tc>
        <w:tc>
          <w:tcPr>
            <w:tcW w:w="1575"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r>
              <w:rPr>
                <w:rFonts w:ascii="Calibri" w:hAnsi="Calibri" w:cs="Arial"/>
                <w:lang w:eastAsia="en-GB"/>
              </w:rPr>
              <w:t xml:space="preserve">             (35)</w:t>
            </w:r>
            <w:r w:rsidRPr="00A13609">
              <w:rPr>
                <w:rFonts w:ascii="Calibri" w:hAnsi="Calibri" w:cs="Arial"/>
                <w:lang w:eastAsia="en-GB"/>
              </w:rPr>
              <w:t xml:space="preserve">   </w:t>
            </w:r>
          </w:p>
        </w:tc>
      </w:tr>
      <w:tr w:rsidR="00A13609" w:rsidRPr="00A13609" w:rsidTr="006A44C0">
        <w:trPr>
          <w:trHeight w:val="115"/>
        </w:trPr>
        <w:tc>
          <w:tcPr>
            <w:tcW w:w="3631" w:type="dxa"/>
            <w:tcBorders>
              <w:top w:val="nil"/>
              <w:left w:val="nil"/>
              <w:bottom w:val="nil"/>
              <w:right w:val="nil"/>
            </w:tcBorders>
            <w:shd w:val="clear" w:color="auto" w:fill="auto"/>
            <w:noWrap/>
            <w:vAlign w:val="bottom"/>
            <w:hideMark/>
          </w:tcPr>
          <w:p w:rsidR="00A13609" w:rsidRPr="00A13609" w:rsidRDefault="00A13609" w:rsidP="00A13609">
            <w:pPr>
              <w:rPr>
                <w:rFonts w:ascii="Calibri" w:hAnsi="Calibri" w:cs="Arial"/>
                <w:lang w:eastAsia="en-GB"/>
              </w:rPr>
            </w:pPr>
            <w:r w:rsidRPr="00A13609">
              <w:rPr>
                <w:rFonts w:ascii="Calibri" w:hAnsi="Calibri" w:cs="Arial"/>
                <w:lang w:eastAsia="en-GB"/>
              </w:rPr>
              <w:t>Interest paid</w:t>
            </w:r>
          </w:p>
        </w:tc>
        <w:tc>
          <w:tcPr>
            <w:tcW w:w="2573"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c>
          <w:tcPr>
            <w:tcW w:w="2252"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color w:val="000000"/>
                <w:lang w:eastAsia="en-GB"/>
              </w:rPr>
            </w:pPr>
            <w:r w:rsidRPr="00A13609">
              <w:rPr>
                <w:rFonts w:ascii="Calibri" w:hAnsi="Calibri" w:cs="Arial"/>
                <w:color w:val="000000"/>
                <w:lang w:eastAsia="en-GB"/>
              </w:rPr>
              <w:t>(</w:t>
            </w:r>
            <w:r>
              <w:rPr>
                <w:rFonts w:ascii="Calibri" w:hAnsi="Calibri" w:cs="Arial"/>
                <w:color w:val="000000"/>
                <w:lang w:eastAsia="en-GB"/>
              </w:rPr>
              <w:t>206</w:t>
            </w:r>
            <w:r w:rsidRPr="00A13609">
              <w:rPr>
                <w:rFonts w:ascii="Calibri" w:hAnsi="Calibri" w:cs="Arial"/>
                <w:color w:val="000000"/>
                <w:lang w:eastAsia="en-GB"/>
              </w:rPr>
              <w:t>)</w:t>
            </w:r>
          </w:p>
        </w:tc>
        <w:tc>
          <w:tcPr>
            <w:tcW w:w="1575"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r w:rsidRPr="00A13609">
              <w:rPr>
                <w:rFonts w:ascii="Calibri" w:hAnsi="Calibri" w:cs="Arial"/>
                <w:lang w:eastAsia="en-GB"/>
              </w:rPr>
              <w:t>(9</w:t>
            </w:r>
            <w:r>
              <w:rPr>
                <w:rFonts w:ascii="Calibri" w:hAnsi="Calibri" w:cs="Arial"/>
                <w:lang w:eastAsia="en-GB"/>
              </w:rPr>
              <w:t>86</w:t>
            </w:r>
            <w:r w:rsidRPr="00A13609">
              <w:rPr>
                <w:rFonts w:ascii="Calibri" w:hAnsi="Calibri" w:cs="Arial"/>
                <w:lang w:eastAsia="en-GB"/>
              </w:rPr>
              <w:t>)</w:t>
            </w:r>
          </w:p>
        </w:tc>
      </w:tr>
      <w:tr w:rsidR="00A13609" w:rsidRPr="00A13609" w:rsidTr="006A44C0">
        <w:trPr>
          <w:trHeight w:val="115"/>
        </w:trPr>
        <w:tc>
          <w:tcPr>
            <w:tcW w:w="3631"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c>
          <w:tcPr>
            <w:tcW w:w="2573"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c>
          <w:tcPr>
            <w:tcW w:w="2252"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color w:val="000000"/>
                <w:lang w:eastAsia="en-GB"/>
              </w:rPr>
            </w:pPr>
          </w:p>
        </w:tc>
        <w:tc>
          <w:tcPr>
            <w:tcW w:w="1575"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r>
      <w:tr w:rsidR="00A13609" w:rsidRPr="00A13609" w:rsidTr="006A44C0">
        <w:trPr>
          <w:trHeight w:val="121"/>
        </w:trPr>
        <w:tc>
          <w:tcPr>
            <w:tcW w:w="6204" w:type="dxa"/>
            <w:gridSpan w:val="2"/>
            <w:tcBorders>
              <w:top w:val="nil"/>
              <w:left w:val="nil"/>
              <w:bottom w:val="nil"/>
              <w:right w:val="nil"/>
            </w:tcBorders>
            <w:shd w:val="clear" w:color="auto" w:fill="auto"/>
            <w:noWrap/>
            <w:vAlign w:val="bottom"/>
            <w:hideMark/>
          </w:tcPr>
          <w:p w:rsidR="00A13609" w:rsidRPr="00A13609" w:rsidRDefault="00A13609" w:rsidP="00A13609">
            <w:pPr>
              <w:rPr>
                <w:rFonts w:ascii="Calibri" w:hAnsi="Calibri" w:cs="Arial"/>
                <w:b/>
                <w:bCs/>
                <w:lang w:eastAsia="en-GB"/>
              </w:rPr>
            </w:pPr>
            <w:r w:rsidRPr="00A13609">
              <w:rPr>
                <w:rFonts w:ascii="Calibri" w:hAnsi="Calibri" w:cs="Arial"/>
                <w:b/>
                <w:bCs/>
                <w:lang w:eastAsia="en-GB"/>
              </w:rPr>
              <w:t>Net cash generated by operating activities</w:t>
            </w:r>
          </w:p>
        </w:tc>
        <w:tc>
          <w:tcPr>
            <w:tcW w:w="2252" w:type="dxa"/>
            <w:tcBorders>
              <w:top w:val="single" w:sz="4" w:space="0" w:color="auto"/>
              <w:left w:val="nil"/>
              <w:bottom w:val="single" w:sz="8" w:space="0" w:color="auto"/>
              <w:right w:val="nil"/>
            </w:tcBorders>
            <w:shd w:val="clear" w:color="auto" w:fill="auto"/>
            <w:noWrap/>
            <w:vAlign w:val="bottom"/>
            <w:hideMark/>
          </w:tcPr>
          <w:p w:rsidR="00A13609" w:rsidRPr="00A13609" w:rsidRDefault="00A13609" w:rsidP="00A13609">
            <w:pPr>
              <w:jc w:val="right"/>
              <w:rPr>
                <w:rFonts w:ascii="Calibri" w:hAnsi="Calibri" w:cs="Arial"/>
                <w:color w:val="000000"/>
                <w:lang w:eastAsia="en-GB"/>
              </w:rPr>
            </w:pPr>
            <w:r>
              <w:rPr>
                <w:rFonts w:ascii="Calibri" w:hAnsi="Calibri" w:cs="Arial"/>
                <w:color w:val="000000"/>
                <w:lang w:eastAsia="en-GB"/>
              </w:rPr>
              <w:t>2,400</w:t>
            </w:r>
          </w:p>
        </w:tc>
        <w:tc>
          <w:tcPr>
            <w:tcW w:w="1575" w:type="dxa"/>
            <w:tcBorders>
              <w:top w:val="single" w:sz="4" w:space="0" w:color="auto"/>
              <w:left w:val="nil"/>
              <w:bottom w:val="single" w:sz="8" w:space="0" w:color="auto"/>
              <w:right w:val="nil"/>
            </w:tcBorders>
            <w:shd w:val="clear" w:color="auto" w:fill="auto"/>
            <w:noWrap/>
            <w:vAlign w:val="bottom"/>
            <w:hideMark/>
          </w:tcPr>
          <w:p w:rsidR="00A13609" w:rsidRPr="00A13609" w:rsidRDefault="00A13609" w:rsidP="00A13609">
            <w:pPr>
              <w:jc w:val="right"/>
              <w:rPr>
                <w:rFonts w:ascii="Calibri" w:hAnsi="Calibri" w:cs="Arial"/>
                <w:color w:val="000000"/>
                <w:lang w:eastAsia="en-GB"/>
              </w:rPr>
            </w:pPr>
            <w:r w:rsidRPr="00A13609">
              <w:rPr>
                <w:rFonts w:ascii="Calibri" w:hAnsi="Calibri" w:cs="Arial"/>
                <w:color w:val="000000"/>
                <w:lang w:eastAsia="en-GB"/>
              </w:rPr>
              <w:t>3,750</w:t>
            </w:r>
          </w:p>
        </w:tc>
      </w:tr>
      <w:tr w:rsidR="00A13609" w:rsidRPr="00A13609" w:rsidTr="006A44C0">
        <w:trPr>
          <w:trHeight w:val="115"/>
        </w:trPr>
        <w:tc>
          <w:tcPr>
            <w:tcW w:w="3631"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c>
          <w:tcPr>
            <w:tcW w:w="2573"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c>
          <w:tcPr>
            <w:tcW w:w="2252"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color w:val="000000"/>
                <w:lang w:eastAsia="en-GB"/>
              </w:rPr>
            </w:pPr>
          </w:p>
        </w:tc>
        <w:tc>
          <w:tcPr>
            <w:tcW w:w="1575"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r>
      <w:tr w:rsidR="00A13609" w:rsidRPr="00A13609" w:rsidTr="006A44C0">
        <w:trPr>
          <w:trHeight w:val="115"/>
        </w:trPr>
        <w:tc>
          <w:tcPr>
            <w:tcW w:w="8456" w:type="dxa"/>
            <w:gridSpan w:val="3"/>
            <w:tcBorders>
              <w:top w:val="nil"/>
              <w:left w:val="nil"/>
              <w:bottom w:val="nil"/>
              <w:right w:val="nil"/>
            </w:tcBorders>
            <w:shd w:val="clear" w:color="auto" w:fill="auto"/>
            <w:noWrap/>
            <w:vAlign w:val="bottom"/>
            <w:hideMark/>
          </w:tcPr>
          <w:p w:rsidR="00A13609" w:rsidRPr="00A13609" w:rsidRDefault="00A13609" w:rsidP="00A13609">
            <w:pPr>
              <w:rPr>
                <w:rFonts w:ascii="Calibri" w:hAnsi="Calibri" w:cs="Arial"/>
                <w:b/>
                <w:bCs/>
                <w:lang w:eastAsia="en-GB"/>
              </w:rPr>
            </w:pPr>
            <w:r w:rsidRPr="00A13609">
              <w:rPr>
                <w:rFonts w:ascii="Calibri" w:hAnsi="Calibri" w:cs="Arial"/>
                <w:b/>
                <w:bCs/>
                <w:lang w:eastAsia="en-GB"/>
              </w:rPr>
              <w:t>Cash flows from investing activities</w:t>
            </w:r>
          </w:p>
        </w:tc>
        <w:tc>
          <w:tcPr>
            <w:tcW w:w="1575"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r>
      <w:tr w:rsidR="00A13609" w:rsidRPr="00A13609" w:rsidTr="006A44C0">
        <w:trPr>
          <w:trHeight w:val="115"/>
        </w:trPr>
        <w:tc>
          <w:tcPr>
            <w:tcW w:w="6204" w:type="dxa"/>
            <w:gridSpan w:val="2"/>
            <w:tcBorders>
              <w:top w:val="nil"/>
              <w:left w:val="nil"/>
              <w:bottom w:val="nil"/>
              <w:right w:val="nil"/>
            </w:tcBorders>
            <w:shd w:val="clear" w:color="auto" w:fill="auto"/>
            <w:noWrap/>
            <w:vAlign w:val="bottom"/>
            <w:hideMark/>
          </w:tcPr>
          <w:p w:rsidR="00A13609" w:rsidRPr="00A13609" w:rsidRDefault="00A13609" w:rsidP="00A13609">
            <w:pPr>
              <w:rPr>
                <w:rFonts w:ascii="Calibri" w:hAnsi="Calibri" w:cs="Arial"/>
                <w:lang w:eastAsia="en-GB"/>
              </w:rPr>
            </w:pPr>
            <w:r w:rsidRPr="00A13609">
              <w:rPr>
                <w:rFonts w:ascii="Calibri" w:hAnsi="Calibri" w:cs="Arial"/>
                <w:lang w:eastAsia="en-GB"/>
              </w:rPr>
              <w:t>Purchase of property, plant and equipment</w:t>
            </w:r>
          </w:p>
        </w:tc>
        <w:tc>
          <w:tcPr>
            <w:tcW w:w="2252"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r w:rsidRPr="00A13609">
              <w:rPr>
                <w:rFonts w:ascii="Calibri" w:hAnsi="Calibri" w:cs="Arial"/>
                <w:lang w:eastAsia="en-GB"/>
              </w:rPr>
              <w:t>(</w:t>
            </w:r>
            <w:r>
              <w:rPr>
                <w:rFonts w:ascii="Calibri" w:hAnsi="Calibri" w:cs="Arial"/>
                <w:lang w:eastAsia="en-GB"/>
              </w:rPr>
              <w:t>2,069</w:t>
            </w:r>
            <w:r w:rsidRPr="00A13609">
              <w:rPr>
                <w:rFonts w:ascii="Calibri" w:hAnsi="Calibri" w:cs="Arial"/>
                <w:lang w:eastAsia="en-GB"/>
              </w:rPr>
              <w:t>)</w:t>
            </w:r>
          </w:p>
        </w:tc>
        <w:tc>
          <w:tcPr>
            <w:tcW w:w="1575"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r w:rsidRPr="00A13609">
              <w:rPr>
                <w:rFonts w:ascii="Calibri" w:hAnsi="Calibri" w:cs="Arial"/>
                <w:lang w:eastAsia="en-GB"/>
              </w:rPr>
              <w:t>(927)</w:t>
            </w:r>
          </w:p>
        </w:tc>
      </w:tr>
      <w:tr w:rsidR="00A13609" w:rsidRPr="00A13609" w:rsidTr="006A44C0">
        <w:trPr>
          <w:trHeight w:val="115"/>
        </w:trPr>
        <w:tc>
          <w:tcPr>
            <w:tcW w:w="3631" w:type="dxa"/>
            <w:tcBorders>
              <w:top w:val="nil"/>
              <w:left w:val="nil"/>
              <w:bottom w:val="nil"/>
              <w:right w:val="nil"/>
            </w:tcBorders>
            <w:shd w:val="clear" w:color="auto" w:fill="auto"/>
            <w:noWrap/>
            <w:vAlign w:val="bottom"/>
          </w:tcPr>
          <w:p w:rsidR="00A13609" w:rsidRPr="00A13609" w:rsidRDefault="00A13609" w:rsidP="00A13609">
            <w:pPr>
              <w:rPr>
                <w:rFonts w:ascii="Calibri" w:hAnsi="Calibri" w:cs="Arial"/>
                <w:lang w:eastAsia="en-GB"/>
              </w:rPr>
            </w:pPr>
            <w:r w:rsidRPr="00A13609">
              <w:rPr>
                <w:rFonts w:ascii="Calibri" w:hAnsi="Calibri" w:cs="Arial"/>
                <w:lang w:eastAsia="en-GB"/>
              </w:rPr>
              <w:t xml:space="preserve">Proceeds of sale of </w:t>
            </w:r>
            <w:r>
              <w:rPr>
                <w:rFonts w:ascii="Calibri" w:hAnsi="Calibri" w:cs="Arial"/>
                <w:lang w:eastAsia="en-GB"/>
              </w:rPr>
              <w:t>investments</w:t>
            </w:r>
          </w:p>
        </w:tc>
        <w:tc>
          <w:tcPr>
            <w:tcW w:w="2573" w:type="dxa"/>
            <w:tcBorders>
              <w:top w:val="nil"/>
              <w:left w:val="nil"/>
              <w:bottom w:val="nil"/>
              <w:right w:val="nil"/>
            </w:tcBorders>
            <w:shd w:val="clear" w:color="auto" w:fill="auto"/>
            <w:noWrap/>
            <w:vAlign w:val="bottom"/>
          </w:tcPr>
          <w:p w:rsidR="00A13609" w:rsidRPr="00A13609" w:rsidRDefault="00A13609" w:rsidP="00A13609">
            <w:pPr>
              <w:jc w:val="right"/>
              <w:rPr>
                <w:rFonts w:ascii="Calibri" w:hAnsi="Calibri" w:cs="Arial"/>
                <w:lang w:eastAsia="en-GB"/>
              </w:rPr>
            </w:pPr>
          </w:p>
        </w:tc>
        <w:tc>
          <w:tcPr>
            <w:tcW w:w="2252" w:type="dxa"/>
            <w:tcBorders>
              <w:top w:val="nil"/>
              <w:left w:val="nil"/>
              <w:bottom w:val="nil"/>
              <w:right w:val="nil"/>
            </w:tcBorders>
            <w:shd w:val="clear" w:color="auto" w:fill="auto"/>
            <w:noWrap/>
            <w:vAlign w:val="bottom"/>
          </w:tcPr>
          <w:p w:rsidR="00A13609" w:rsidRPr="00A13609" w:rsidRDefault="00A13609" w:rsidP="00A13609">
            <w:pPr>
              <w:jc w:val="right"/>
              <w:rPr>
                <w:rFonts w:ascii="Calibri" w:hAnsi="Calibri" w:cs="Arial"/>
                <w:lang w:eastAsia="en-GB"/>
              </w:rPr>
            </w:pPr>
            <w:r>
              <w:rPr>
                <w:rFonts w:ascii="Calibri" w:hAnsi="Calibri" w:cs="Arial"/>
                <w:lang w:eastAsia="en-GB"/>
              </w:rPr>
              <w:t>31</w:t>
            </w:r>
          </w:p>
        </w:tc>
        <w:tc>
          <w:tcPr>
            <w:tcW w:w="1575" w:type="dxa"/>
            <w:tcBorders>
              <w:top w:val="nil"/>
              <w:left w:val="nil"/>
              <w:bottom w:val="nil"/>
              <w:right w:val="nil"/>
            </w:tcBorders>
            <w:shd w:val="clear" w:color="auto" w:fill="auto"/>
            <w:noWrap/>
            <w:vAlign w:val="bottom"/>
          </w:tcPr>
          <w:p w:rsidR="00A13609" w:rsidRPr="00A13609" w:rsidRDefault="00A13609" w:rsidP="00A13609">
            <w:pPr>
              <w:jc w:val="right"/>
              <w:rPr>
                <w:rFonts w:ascii="Calibri" w:hAnsi="Calibri" w:cs="Arial"/>
                <w:lang w:eastAsia="en-GB"/>
              </w:rPr>
            </w:pPr>
            <w:r>
              <w:rPr>
                <w:rFonts w:ascii="Calibri" w:hAnsi="Calibri" w:cs="Arial"/>
                <w:lang w:eastAsia="en-GB"/>
              </w:rPr>
              <w:t>-</w:t>
            </w:r>
          </w:p>
        </w:tc>
      </w:tr>
      <w:tr w:rsidR="00A13609" w:rsidRPr="00A13609" w:rsidTr="006A44C0">
        <w:trPr>
          <w:trHeight w:val="115"/>
        </w:trPr>
        <w:tc>
          <w:tcPr>
            <w:tcW w:w="3631" w:type="dxa"/>
            <w:tcBorders>
              <w:top w:val="nil"/>
              <w:left w:val="nil"/>
              <w:bottom w:val="nil"/>
              <w:right w:val="nil"/>
            </w:tcBorders>
            <w:shd w:val="clear" w:color="auto" w:fill="auto"/>
            <w:noWrap/>
            <w:vAlign w:val="bottom"/>
            <w:hideMark/>
          </w:tcPr>
          <w:p w:rsidR="00A13609" w:rsidRPr="00A13609" w:rsidRDefault="00A13609" w:rsidP="00A13609">
            <w:pPr>
              <w:rPr>
                <w:rFonts w:ascii="Calibri" w:hAnsi="Calibri" w:cs="Arial"/>
                <w:lang w:eastAsia="en-GB"/>
              </w:rPr>
            </w:pPr>
            <w:r w:rsidRPr="00A13609">
              <w:rPr>
                <w:rFonts w:ascii="Calibri" w:hAnsi="Calibri" w:cs="Arial"/>
                <w:lang w:eastAsia="en-GB"/>
              </w:rPr>
              <w:t>Proceeds of sale of land</w:t>
            </w:r>
          </w:p>
        </w:tc>
        <w:tc>
          <w:tcPr>
            <w:tcW w:w="2573"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c>
          <w:tcPr>
            <w:tcW w:w="2252" w:type="dxa"/>
            <w:tcBorders>
              <w:top w:val="nil"/>
              <w:left w:val="nil"/>
              <w:bottom w:val="nil"/>
              <w:right w:val="nil"/>
            </w:tcBorders>
            <w:shd w:val="clear" w:color="auto" w:fill="auto"/>
            <w:noWrap/>
            <w:vAlign w:val="bottom"/>
            <w:hideMark/>
          </w:tcPr>
          <w:p w:rsidR="00A13609" w:rsidRPr="00A13609" w:rsidRDefault="00A13609" w:rsidP="00821868">
            <w:pPr>
              <w:jc w:val="right"/>
              <w:rPr>
                <w:rFonts w:ascii="Calibri" w:hAnsi="Calibri" w:cs="Arial"/>
                <w:lang w:eastAsia="en-GB"/>
              </w:rPr>
            </w:pPr>
            <w:r w:rsidRPr="00A13609">
              <w:rPr>
                <w:rFonts w:ascii="Calibri" w:hAnsi="Calibri" w:cs="Arial"/>
                <w:lang w:eastAsia="en-GB"/>
              </w:rPr>
              <w:t>1,</w:t>
            </w:r>
            <w:r w:rsidR="00821868">
              <w:rPr>
                <w:rFonts w:ascii="Calibri" w:hAnsi="Calibri" w:cs="Arial"/>
                <w:lang w:eastAsia="en-GB"/>
              </w:rPr>
              <w:t>5</w:t>
            </w:r>
            <w:r w:rsidRPr="00A13609">
              <w:rPr>
                <w:rFonts w:ascii="Calibri" w:hAnsi="Calibri" w:cs="Arial"/>
                <w:lang w:eastAsia="en-GB"/>
              </w:rPr>
              <w:t xml:space="preserve">00 </w:t>
            </w:r>
          </w:p>
        </w:tc>
        <w:tc>
          <w:tcPr>
            <w:tcW w:w="1575"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r w:rsidRPr="00A13609">
              <w:rPr>
                <w:rFonts w:ascii="Calibri" w:hAnsi="Calibri" w:cs="Arial"/>
                <w:lang w:eastAsia="en-GB"/>
              </w:rPr>
              <w:t xml:space="preserve">         </w:t>
            </w:r>
            <w:r>
              <w:rPr>
                <w:rFonts w:ascii="Calibri" w:hAnsi="Calibri" w:cs="Arial"/>
                <w:lang w:eastAsia="en-GB"/>
              </w:rPr>
              <w:t>1,600</w:t>
            </w:r>
            <w:r w:rsidRPr="00A13609">
              <w:rPr>
                <w:rFonts w:ascii="Calibri" w:hAnsi="Calibri" w:cs="Arial"/>
                <w:lang w:eastAsia="en-GB"/>
              </w:rPr>
              <w:t xml:space="preserve">  </w:t>
            </w:r>
          </w:p>
        </w:tc>
      </w:tr>
      <w:tr w:rsidR="00A13609" w:rsidRPr="00A13609" w:rsidTr="006A44C0">
        <w:trPr>
          <w:trHeight w:val="115"/>
        </w:trPr>
        <w:tc>
          <w:tcPr>
            <w:tcW w:w="6204" w:type="dxa"/>
            <w:gridSpan w:val="2"/>
            <w:tcBorders>
              <w:top w:val="nil"/>
              <w:left w:val="nil"/>
              <w:bottom w:val="nil"/>
              <w:right w:val="nil"/>
            </w:tcBorders>
            <w:shd w:val="clear" w:color="auto" w:fill="auto"/>
            <w:noWrap/>
            <w:vAlign w:val="bottom"/>
            <w:hideMark/>
          </w:tcPr>
          <w:p w:rsidR="00A13609" w:rsidRPr="00A13609" w:rsidRDefault="00A13609" w:rsidP="00A13609">
            <w:pPr>
              <w:rPr>
                <w:rFonts w:ascii="Calibri" w:hAnsi="Calibri" w:cs="Arial"/>
                <w:lang w:eastAsia="en-GB"/>
              </w:rPr>
            </w:pPr>
            <w:r w:rsidRPr="00A13609">
              <w:rPr>
                <w:rFonts w:ascii="Calibri" w:hAnsi="Calibri" w:cs="Arial"/>
                <w:lang w:eastAsia="en-GB"/>
              </w:rPr>
              <w:t>Proceeds of disposal of property, plant and equipment</w:t>
            </w:r>
          </w:p>
        </w:tc>
        <w:tc>
          <w:tcPr>
            <w:tcW w:w="2252" w:type="dxa"/>
            <w:tcBorders>
              <w:top w:val="nil"/>
              <w:left w:val="nil"/>
              <w:bottom w:val="nil"/>
              <w:right w:val="nil"/>
            </w:tcBorders>
            <w:shd w:val="clear" w:color="auto" w:fill="auto"/>
            <w:noWrap/>
            <w:vAlign w:val="bottom"/>
            <w:hideMark/>
          </w:tcPr>
          <w:p w:rsidR="00A13609" w:rsidRPr="00A13609" w:rsidRDefault="00A13609" w:rsidP="00A071B4">
            <w:pPr>
              <w:jc w:val="right"/>
              <w:rPr>
                <w:rFonts w:ascii="Calibri" w:hAnsi="Calibri" w:cs="Arial"/>
                <w:lang w:eastAsia="en-GB"/>
              </w:rPr>
            </w:pPr>
            <w:r w:rsidRPr="00A13609">
              <w:rPr>
                <w:rFonts w:ascii="Calibri" w:hAnsi="Calibri" w:cs="Arial"/>
                <w:lang w:eastAsia="en-GB"/>
              </w:rPr>
              <w:t xml:space="preserve">4 </w:t>
            </w:r>
          </w:p>
        </w:tc>
        <w:tc>
          <w:tcPr>
            <w:tcW w:w="1575"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r w:rsidRPr="00A13609">
              <w:rPr>
                <w:rFonts w:ascii="Calibri" w:hAnsi="Calibri" w:cs="Arial"/>
                <w:lang w:eastAsia="en-GB"/>
              </w:rPr>
              <w:t xml:space="preserve">145 </w:t>
            </w:r>
          </w:p>
        </w:tc>
      </w:tr>
      <w:tr w:rsidR="00A13609" w:rsidRPr="00A13609" w:rsidTr="006A44C0">
        <w:trPr>
          <w:trHeight w:val="115"/>
        </w:trPr>
        <w:tc>
          <w:tcPr>
            <w:tcW w:w="3631"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c>
          <w:tcPr>
            <w:tcW w:w="2573"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c>
          <w:tcPr>
            <w:tcW w:w="2252"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c>
          <w:tcPr>
            <w:tcW w:w="1575"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r>
      <w:tr w:rsidR="00A13609" w:rsidRPr="00A13609" w:rsidTr="006A44C0">
        <w:trPr>
          <w:trHeight w:val="121"/>
        </w:trPr>
        <w:tc>
          <w:tcPr>
            <w:tcW w:w="6204" w:type="dxa"/>
            <w:gridSpan w:val="2"/>
            <w:tcBorders>
              <w:top w:val="nil"/>
              <w:left w:val="nil"/>
              <w:bottom w:val="nil"/>
              <w:right w:val="nil"/>
            </w:tcBorders>
            <w:shd w:val="clear" w:color="auto" w:fill="auto"/>
            <w:noWrap/>
            <w:vAlign w:val="bottom"/>
            <w:hideMark/>
          </w:tcPr>
          <w:p w:rsidR="00A13609" w:rsidRPr="00A13609" w:rsidRDefault="00A13609" w:rsidP="00A071B4">
            <w:pPr>
              <w:rPr>
                <w:rFonts w:ascii="Calibri" w:hAnsi="Calibri" w:cs="Arial"/>
                <w:b/>
                <w:bCs/>
                <w:lang w:eastAsia="en-GB"/>
              </w:rPr>
            </w:pPr>
            <w:r w:rsidRPr="00A13609">
              <w:rPr>
                <w:rFonts w:ascii="Calibri" w:hAnsi="Calibri" w:cs="Arial"/>
                <w:b/>
                <w:bCs/>
                <w:lang w:eastAsia="en-GB"/>
              </w:rPr>
              <w:t xml:space="preserve">Net cash </w:t>
            </w:r>
            <w:r w:rsidR="00A071B4">
              <w:rPr>
                <w:rFonts w:ascii="Calibri" w:hAnsi="Calibri" w:cs="Arial"/>
                <w:b/>
                <w:bCs/>
                <w:lang w:eastAsia="en-GB"/>
              </w:rPr>
              <w:t>(used in)/</w:t>
            </w:r>
            <w:r w:rsidRPr="00A13609">
              <w:rPr>
                <w:rFonts w:ascii="Calibri" w:hAnsi="Calibri" w:cs="Arial"/>
                <w:b/>
                <w:bCs/>
                <w:lang w:eastAsia="en-GB"/>
              </w:rPr>
              <w:t>generated</w:t>
            </w:r>
            <w:r w:rsidR="00A071B4">
              <w:rPr>
                <w:rFonts w:ascii="Calibri" w:hAnsi="Calibri" w:cs="Arial"/>
                <w:b/>
                <w:bCs/>
                <w:lang w:eastAsia="en-GB"/>
              </w:rPr>
              <w:t xml:space="preserve"> by in</w:t>
            </w:r>
            <w:r w:rsidRPr="00A13609">
              <w:rPr>
                <w:rFonts w:ascii="Calibri" w:hAnsi="Calibri" w:cs="Arial"/>
                <w:b/>
                <w:bCs/>
                <w:lang w:eastAsia="en-GB"/>
              </w:rPr>
              <w:t>vesting activities</w:t>
            </w:r>
          </w:p>
        </w:tc>
        <w:tc>
          <w:tcPr>
            <w:tcW w:w="2252" w:type="dxa"/>
            <w:tcBorders>
              <w:top w:val="single" w:sz="4" w:space="0" w:color="auto"/>
              <w:left w:val="nil"/>
              <w:bottom w:val="single" w:sz="8" w:space="0" w:color="auto"/>
              <w:right w:val="nil"/>
            </w:tcBorders>
            <w:shd w:val="clear" w:color="auto" w:fill="auto"/>
            <w:noWrap/>
            <w:vAlign w:val="bottom"/>
            <w:hideMark/>
          </w:tcPr>
          <w:p w:rsidR="00A13609" w:rsidRPr="00A13609" w:rsidRDefault="00A071B4" w:rsidP="00A13609">
            <w:pPr>
              <w:jc w:val="right"/>
              <w:rPr>
                <w:rFonts w:ascii="Calibri" w:hAnsi="Calibri" w:cs="Arial"/>
                <w:lang w:eastAsia="en-GB"/>
              </w:rPr>
            </w:pPr>
            <w:r>
              <w:rPr>
                <w:rFonts w:ascii="Calibri" w:hAnsi="Calibri" w:cs="Arial"/>
                <w:lang w:eastAsia="en-GB"/>
              </w:rPr>
              <w:t>(534)</w:t>
            </w:r>
          </w:p>
        </w:tc>
        <w:tc>
          <w:tcPr>
            <w:tcW w:w="1575" w:type="dxa"/>
            <w:tcBorders>
              <w:top w:val="single" w:sz="4" w:space="0" w:color="auto"/>
              <w:left w:val="nil"/>
              <w:bottom w:val="single" w:sz="8" w:space="0" w:color="auto"/>
              <w:right w:val="nil"/>
            </w:tcBorders>
            <w:shd w:val="clear" w:color="auto" w:fill="auto"/>
            <w:noWrap/>
            <w:vAlign w:val="bottom"/>
            <w:hideMark/>
          </w:tcPr>
          <w:p w:rsidR="00A13609" w:rsidRPr="00A13609" w:rsidRDefault="00A13609" w:rsidP="00A13609">
            <w:pPr>
              <w:jc w:val="right"/>
              <w:rPr>
                <w:rFonts w:ascii="Calibri" w:hAnsi="Calibri" w:cs="Arial"/>
                <w:lang w:eastAsia="en-GB"/>
              </w:rPr>
            </w:pPr>
            <w:r w:rsidRPr="00A13609">
              <w:rPr>
                <w:rFonts w:ascii="Calibri" w:hAnsi="Calibri" w:cs="Arial"/>
                <w:lang w:eastAsia="en-GB"/>
              </w:rPr>
              <w:t>818</w:t>
            </w:r>
          </w:p>
        </w:tc>
      </w:tr>
      <w:tr w:rsidR="00A13609" w:rsidRPr="00A13609" w:rsidTr="006A44C0">
        <w:trPr>
          <w:trHeight w:val="115"/>
        </w:trPr>
        <w:tc>
          <w:tcPr>
            <w:tcW w:w="3631"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c>
          <w:tcPr>
            <w:tcW w:w="2573"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c>
          <w:tcPr>
            <w:tcW w:w="2252"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c>
          <w:tcPr>
            <w:tcW w:w="1575"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r>
      <w:tr w:rsidR="00A13609" w:rsidRPr="00A13609" w:rsidTr="006A44C0">
        <w:trPr>
          <w:trHeight w:val="115"/>
        </w:trPr>
        <w:tc>
          <w:tcPr>
            <w:tcW w:w="8456" w:type="dxa"/>
            <w:gridSpan w:val="3"/>
            <w:tcBorders>
              <w:top w:val="nil"/>
              <w:left w:val="nil"/>
              <w:bottom w:val="nil"/>
              <w:right w:val="nil"/>
            </w:tcBorders>
            <w:shd w:val="clear" w:color="auto" w:fill="auto"/>
            <w:noWrap/>
            <w:vAlign w:val="bottom"/>
            <w:hideMark/>
          </w:tcPr>
          <w:p w:rsidR="00A13609" w:rsidRPr="00A13609" w:rsidRDefault="00A13609" w:rsidP="00A13609">
            <w:pPr>
              <w:rPr>
                <w:rFonts w:ascii="Calibri" w:hAnsi="Calibri" w:cs="Arial"/>
                <w:b/>
                <w:bCs/>
                <w:lang w:eastAsia="en-GB"/>
              </w:rPr>
            </w:pPr>
            <w:r w:rsidRPr="00A13609">
              <w:rPr>
                <w:rFonts w:ascii="Calibri" w:hAnsi="Calibri" w:cs="Arial"/>
                <w:b/>
                <w:bCs/>
                <w:lang w:eastAsia="en-GB"/>
              </w:rPr>
              <w:t>Cash flows from financing activities</w:t>
            </w:r>
          </w:p>
        </w:tc>
        <w:tc>
          <w:tcPr>
            <w:tcW w:w="1575"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r>
      <w:tr w:rsidR="00A13609" w:rsidRPr="00A13609" w:rsidTr="006A44C0">
        <w:trPr>
          <w:trHeight w:val="115"/>
        </w:trPr>
        <w:tc>
          <w:tcPr>
            <w:tcW w:w="6204" w:type="dxa"/>
            <w:gridSpan w:val="2"/>
            <w:tcBorders>
              <w:top w:val="nil"/>
              <w:left w:val="nil"/>
              <w:bottom w:val="nil"/>
              <w:right w:val="nil"/>
            </w:tcBorders>
            <w:shd w:val="clear" w:color="auto" w:fill="auto"/>
            <w:noWrap/>
            <w:vAlign w:val="bottom"/>
            <w:hideMark/>
          </w:tcPr>
          <w:p w:rsidR="00A13609" w:rsidRPr="00A13609" w:rsidRDefault="00A13609" w:rsidP="00A13609">
            <w:pPr>
              <w:rPr>
                <w:rFonts w:ascii="Calibri" w:hAnsi="Calibri" w:cs="Arial"/>
                <w:lang w:eastAsia="en-GB"/>
              </w:rPr>
            </w:pPr>
            <w:r w:rsidRPr="00A13609">
              <w:rPr>
                <w:rFonts w:ascii="Calibri" w:hAnsi="Calibri" w:cs="Arial"/>
                <w:lang w:eastAsia="en-GB"/>
              </w:rPr>
              <w:t>Repayment of interest bearing borrowings</w:t>
            </w:r>
          </w:p>
        </w:tc>
        <w:tc>
          <w:tcPr>
            <w:tcW w:w="2252" w:type="dxa"/>
            <w:tcBorders>
              <w:top w:val="nil"/>
              <w:left w:val="nil"/>
              <w:bottom w:val="nil"/>
              <w:right w:val="nil"/>
            </w:tcBorders>
            <w:shd w:val="clear" w:color="auto" w:fill="auto"/>
            <w:noWrap/>
            <w:vAlign w:val="bottom"/>
            <w:hideMark/>
          </w:tcPr>
          <w:p w:rsidR="00A13609" w:rsidRPr="00A13609" w:rsidRDefault="00A13609" w:rsidP="00A071B4">
            <w:pPr>
              <w:jc w:val="right"/>
              <w:rPr>
                <w:rFonts w:ascii="Calibri" w:hAnsi="Calibri" w:cs="Arial"/>
                <w:lang w:eastAsia="en-GB"/>
              </w:rPr>
            </w:pPr>
            <w:r w:rsidRPr="00A13609">
              <w:rPr>
                <w:rFonts w:ascii="Calibri" w:hAnsi="Calibri" w:cs="Arial"/>
                <w:lang w:eastAsia="en-GB"/>
              </w:rPr>
              <w:t>(</w:t>
            </w:r>
            <w:r w:rsidR="00A071B4">
              <w:rPr>
                <w:rFonts w:ascii="Calibri" w:hAnsi="Calibri" w:cs="Arial"/>
                <w:lang w:eastAsia="en-GB"/>
              </w:rPr>
              <w:t>155</w:t>
            </w:r>
            <w:r w:rsidRPr="00A13609">
              <w:rPr>
                <w:rFonts w:ascii="Calibri" w:hAnsi="Calibri" w:cs="Arial"/>
                <w:lang w:eastAsia="en-GB"/>
              </w:rPr>
              <w:t>)</w:t>
            </w:r>
          </w:p>
        </w:tc>
        <w:tc>
          <w:tcPr>
            <w:tcW w:w="1575"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r w:rsidRPr="00A13609">
              <w:rPr>
                <w:rFonts w:ascii="Calibri" w:hAnsi="Calibri" w:cs="Arial"/>
                <w:lang w:eastAsia="en-GB"/>
              </w:rPr>
              <w:t>(10,348)</w:t>
            </w:r>
          </w:p>
        </w:tc>
      </w:tr>
      <w:tr w:rsidR="00A13609" w:rsidRPr="00A13609" w:rsidTr="006A44C0">
        <w:trPr>
          <w:trHeight w:val="115"/>
        </w:trPr>
        <w:tc>
          <w:tcPr>
            <w:tcW w:w="3631" w:type="dxa"/>
            <w:tcBorders>
              <w:top w:val="nil"/>
              <w:left w:val="nil"/>
              <w:bottom w:val="nil"/>
              <w:right w:val="nil"/>
            </w:tcBorders>
            <w:shd w:val="clear" w:color="auto" w:fill="auto"/>
            <w:noWrap/>
            <w:vAlign w:val="bottom"/>
            <w:hideMark/>
          </w:tcPr>
          <w:p w:rsidR="00A13609" w:rsidRPr="00A13609" w:rsidRDefault="00A13609" w:rsidP="00A13609">
            <w:pPr>
              <w:rPr>
                <w:rFonts w:ascii="Calibri" w:hAnsi="Calibri" w:cs="Arial"/>
                <w:lang w:eastAsia="en-GB"/>
              </w:rPr>
            </w:pPr>
            <w:r w:rsidRPr="00A13609">
              <w:rPr>
                <w:rFonts w:ascii="Calibri" w:hAnsi="Calibri" w:cs="Arial"/>
                <w:lang w:eastAsia="en-GB"/>
              </w:rPr>
              <w:t>Proceeds of share issue</w:t>
            </w:r>
          </w:p>
        </w:tc>
        <w:tc>
          <w:tcPr>
            <w:tcW w:w="2573"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c>
          <w:tcPr>
            <w:tcW w:w="2252" w:type="dxa"/>
            <w:tcBorders>
              <w:top w:val="nil"/>
              <w:left w:val="nil"/>
              <w:bottom w:val="nil"/>
              <w:right w:val="nil"/>
            </w:tcBorders>
            <w:shd w:val="clear" w:color="auto" w:fill="auto"/>
            <w:noWrap/>
            <w:vAlign w:val="bottom"/>
            <w:hideMark/>
          </w:tcPr>
          <w:p w:rsidR="00A13609" w:rsidRPr="00A13609" w:rsidRDefault="00A071B4" w:rsidP="00A13609">
            <w:pPr>
              <w:jc w:val="right"/>
              <w:rPr>
                <w:rFonts w:ascii="Calibri" w:hAnsi="Calibri" w:cs="Arial"/>
                <w:lang w:eastAsia="en-GB"/>
              </w:rPr>
            </w:pPr>
            <w:r>
              <w:rPr>
                <w:rFonts w:ascii="Calibri" w:hAnsi="Calibri" w:cs="Arial"/>
                <w:lang w:eastAsia="en-GB"/>
              </w:rPr>
              <w:t>85</w:t>
            </w:r>
            <w:r w:rsidR="00A13609" w:rsidRPr="00A13609">
              <w:rPr>
                <w:rFonts w:ascii="Calibri" w:hAnsi="Calibri" w:cs="Arial"/>
                <w:lang w:eastAsia="en-GB"/>
              </w:rPr>
              <w:t xml:space="preserve"> </w:t>
            </w:r>
          </w:p>
        </w:tc>
        <w:tc>
          <w:tcPr>
            <w:tcW w:w="1575"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r>
              <w:rPr>
                <w:rFonts w:ascii="Calibri" w:hAnsi="Calibri" w:cs="Arial"/>
                <w:lang w:eastAsia="en-GB"/>
              </w:rPr>
              <w:t>9,572</w:t>
            </w:r>
            <w:r w:rsidRPr="00A13609">
              <w:rPr>
                <w:rFonts w:ascii="Calibri" w:hAnsi="Calibri" w:cs="Arial"/>
                <w:lang w:eastAsia="en-GB"/>
              </w:rPr>
              <w:t xml:space="preserve">   </w:t>
            </w:r>
          </w:p>
        </w:tc>
      </w:tr>
      <w:tr w:rsidR="00A13609" w:rsidRPr="00A13609" w:rsidTr="006A44C0">
        <w:trPr>
          <w:trHeight w:val="115"/>
        </w:trPr>
        <w:tc>
          <w:tcPr>
            <w:tcW w:w="6204" w:type="dxa"/>
            <w:gridSpan w:val="2"/>
            <w:tcBorders>
              <w:top w:val="nil"/>
              <w:left w:val="nil"/>
              <w:bottom w:val="nil"/>
              <w:right w:val="nil"/>
            </w:tcBorders>
            <w:shd w:val="clear" w:color="auto" w:fill="auto"/>
            <w:noWrap/>
            <w:vAlign w:val="bottom"/>
            <w:hideMark/>
          </w:tcPr>
          <w:p w:rsidR="00A13609" w:rsidRPr="00A13609" w:rsidRDefault="00A13609" w:rsidP="00A13609">
            <w:pPr>
              <w:rPr>
                <w:rFonts w:ascii="Calibri" w:hAnsi="Calibri" w:cs="Arial"/>
                <w:lang w:eastAsia="en-GB"/>
              </w:rPr>
            </w:pPr>
            <w:r w:rsidRPr="00A13609">
              <w:rPr>
                <w:rFonts w:ascii="Calibri" w:hAnsi="Calibri" w:cs="Arial"/>
                <w:lang w:eastAsia="en-GB"/>
              </w:rPr>
              <w:t>Repayment of hire purchase and finance lease obligations</w:t>
            </w:r>
          </w:p>
        </w:tc>
        <w:tc>
          <w:tcPr>
            <w:tcW w:w="2252" w:type="dxa"/>
            <w:tcBorders>
              <w:top w:val="nil"/>
              <w:left w:val="nil"/>
              <w:bottom w:val="nil"/>
              <w:right w:val="nil"/>
            </w:tcBorders>
            <w:shd w:val="clear" w:color="auto" w:fill="auto"/>
            <w:noWrap/>
            <w:vAlign w:val="bottom"/>
            <w:hideMark/>
          </w:tcPr>
          <w:p w:rsidR="00A13609" w:rsidRPr="00A13609" w:rsidRDefault="00A13609" w:rsidP="00A071B4">
            <w:pPr>
              <w:jc w:val="right"/>
              <w:rPr>
                <w:rFonts w:ascii="Calibri" w:hAnsi="Calibri" w:cs="Arial"/>
                <w:lang w:eastAsia="en-GB"/>
              </w:rPr>
            </w:pPr>
            <w:r w:rsidRPr="00A13609">
              <w:rPr>
                <w:rFonts w:ascii="Calibri" w:hAnsi="Calibri" w:cs="Arial"/>
                <w:lang w:eastAsia="en-GB"/>
              </w:rPr>
              <w:t>(</w:t>
            </w:r>
            <w:r w:rsidR="00A071B4">
              <w:rPr>
                <w:rFonts w:ascii="Calibri" w:hAnsi="Calibri" w:cs="Arial"/>
                <w:lang w:eastAsia="en-GB"/>
              </w:rPr>
              <w:t>5</w:t>
            </w:r>
            <w:r w:rsidRPr="00A13609">
              <w:rPr>
                <w:rFonts w:ascii="Calibri" w:hAnsi="Calibri" w:cs="Arial"/>
                <w:lang w:eastAsia="en-GB"/>
              </w:rPr>
              <w:t>)</w:t>
            </w:r>
          </w:p>
        </w:tc>
        <w:tc>
          <w:tcPr>
            <w:tcW w:w="1575"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r w:rsidRPr="00A13609">
              <w:rPr>
                <w:rFonts w:ascii="Calibri" w:hAnsi="Calibri" w:cs="Arial"/>
                <w:lang w:eastAsia="en-GB"/>
              </w:rPr>
              <w:t>(19)</w:t>
            </w:r>
          </w:p>
        </w:tc>
      </w:tr>
      <w:tr w:rsidR="00A13609" w:rsidRPr="00A13609" w:rsidTr="006A44C0">
        <w:trPr>
          <w:trHeight w:val="115"/>
        </w:trPr>
        <w:tc>
          <w:tcPr>
            <w:tcW w:w="3631"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c>
          <w:tcPr>
            <w:tcW w:w="2573"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c>
          <w:tcPr>
            <w:tcW w:w="2252"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c>
          <w:tcPr>
            <w:tcW w:w="1575"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r>
      <w:tr w:rsidR="00A13609" w:rsidRPr="00A13609" w:rsidTr="006A44C0">
        <w:trPr>
          <w:trHeight w:val="121"/>
        </w:trPr>
        <w:tc>
          <w:tcPr>
            <w:tcW w:w="6204" w:type="dxa"/>
            <w:gridSpan w:val="2"/>
            <w:tcBorders>
              <w:top w:val="nil"/>
              <w:left w:val="nil"/>
              <w:bottom w:val="nil"/>
              <w:right w:val="nil"/>
            </w:tcBorders>
            <w:shd w:val="clear" w:color="auto" w:fill="auto"/>
            <w:noWrap/>
            <w:vAlign w:val="bottom"/>
            <w:hideMark/>
          </w:tcPr>
          <w:p w:rsidR="00A13609" w:rsidRPr="00A13609" w:rsidRDefault="00A13609" w:rsidP="00A13609">
            <w:pPr>
              <w:rPr>
                <w:rFonts w:ascii="Calibri" w:hAnsi="Calibri" w:cs="Arial"/>
                <w:b/>
                <w:bCs/>
                <w:lang w:eastAsia="en-GB"/>
              </w:rPr>
            </w:pPr>
            <w:r w:rsidRPr="00A13609">
              <w:rPr>
                <w:rFonts w:ascii="Calibri" w:hAnsi="Calibri" w:cs="Arial"/>
                <w:b/>
                <w:bCs/>
                <w:lang w:eastAsia="en-GB"/>
              </w:rPr>
              <w:t>Net cash used in financing activities</w:t>
            </w:r>
          </w:p>
        </w:tc>
        <w:tc>
          <w:tcPr>
            <w:tcW w:w="2252" w:type="dxa"/>
            <w:tcBorders>
              <w:top w:val="single" w:sz="4" w:space="0" w:color="auto"/>
              <w:left w:val="nil"/>
              <w:bottom w:val="single" w:sz="8" w:space="0" w:color="auto"/>
              <w:right w:val="nil"/>
            </w:tcBorders>
            <w:shd w:val="clear" w:color="auto" w:fill="auto"/>
            <w:noWrap/>
            <w:vAlign w:val="bottom"/>
            <w:hideMark/>
          </w:tcPr>
          <w:p w:rsidR="00A13609" w:rsidRPr="00A13609" w:rsidRDefault="00A071B4" w:rsidP="00A13609">
            <w:pPr>
              <w:jc w:val="right"/>
              <w:rPr>
                <w:rFonts w:ascii="Calibri" w:hAnsi="Calibri" w:cs="Arial"/>
                <w:lang w:eastAsia="en-GB"/>
              </w:rPr>
            </w:pPr>
            <w:r>
              <w:rPr>
                <w:rFonts w:ascii="Calibri" w:hAnsi="Calibri" w:cs="Arial"/>
                <w:lang w:eastAsia="en-GB"/>
              </w:rPr>
              <w:t>(7</w:t>
            </w:r>
            <w:r w:rsidR="00A13609" w:rsidRPr="00A13609">
              <w:rPr>
                <w:rFonts w:ascii="Calibri" w:hAnsi="Calibri" w:cs="Arial"/>
                <w:lang w:eastAsia="en-GB"/>
              </w:rPr>
              <w:t>5)</w:t>
            </w:r>
          </w:p>
        </w:tc>
        <w:tc>
          <w:tcPr>
            <w:tcW w:w="1575" w:type="dxa"/>
            <w:tcBorders>
              <w:top w:val="single" w:sz="4" w:space="0" w:color="auto"/>
              <w:left w:val="nil"/>
              <w:bottom w:val="single" w:sz="8" w:space="0" w:color="auto"/>
              <w:right w:val="nil"/>
            </w:tcBorders>
            <w:shd w:val="clear" w:color="auto" w:fill="auto"/>
            <w:noWrap/>
            <w:vAlign w:val="bottom"/>
            <w:hideMark/>
          </w:tcPr>
          <w:p w:rsidR="00A13609" w:rsidRPr="00A13609" w:rsidRDefault="00A13609" w:rsidP="00A13609">
            <w:pPr>
              <w:jc w:val="right"/>
              <w:rPr>
                <w:rFonts w:ascii="Calibri" w:hAnsi="Calibri" w:cs="Arial"/>
                <w:lang w:eastAsia="en-GB"/>
              </w:rPr>
            </w:pPr>
            <w:r w:rsidRPr="00A13609">
              <w:rPr>
                <w:rFonts w:ascii="Calibri" w:hAnsi="Calibri" w:cs="Arial"/>
                <w:lang w:eastAsia="en-GB"/>
              </w:rPr>
              <w:t>(795)</w:t>
            </w:r>
          </w:p>
        </w:tc>
      </w:tr>
      <w:tr w:rsidR="00A13609" w:rsidRPr="00A13609" w:rsidTr="006A44C0">
        <w:trPr>
          <w:trHeight w:val="115"/>
        </w:trPr>
        <w:tc>
          <w:tcPr>
            <w:tcW w:w="3631"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c>
          <w:tcPr>
            <w:tcW w:w="2573"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c>
          <w:tcPr>
            <w:tcW w:w="2252"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c>
          <w:tcPr>
            <w:tcW w:w="1575"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r>
      <w:tr w:rsidR="00A13609" w:rsidRPr="00A13609" w:rsidTr="006A44C0">
        <w:trPr>
          <w:trHeight w:val="115"/>
        </w:trPr>
        <w:tc>
          <w:tcPr>
            <w:tcW w:w="6204" w:type="dxa"/>
            <w:gridSpan w:val="2"/>
            <w:tcBorders>
              <w:top w:val="nil"/>
              <w:left w:val="nil"/>
              <w:bottom w:val="nil"/>
              <w:right w:val="nil"/>
            </w:tcBorders>
            <w:shd w:val="clear" w:color="auto" w:fill="auto"/>
            <w:noWrap/>
            <w:vAlign w:val="bottom"/>
            <w:hideMark/>
          </w:tcPr>
          <w:p w:rsidR="00A13609" w:rsidRPr="00A13609" w:rsidRDefault="00A13609" w:rsidP="00A13609">
            <w:pPr>
              <w:rPr>
                <w:rFonts w:ascii="Calibri" w:hAnsi="Calibri" w:cs="Arial"/>
                <w:b/>
                <w:bCs/>
                <w:lang w:eastAsia="en-GB"/>
              </w:rPr>
            </w:pPr>
            <w:r w:rsidRPr="00A13609">
              <w:rPr>
                <w:rFonts w:ascii="Calibri" w:hAnsi="Calibri" w:cs="Arial"/>
                <w:b/>
                <w:bCs/>
                <w:lang w:eastAsia="en-GB"/>
              </w:rPr>
              <w:t>Net increase in cash and cash equivalents</w:t>
            </w:r>
          </w:p>
        </w:tc>
        <w:tc>
          <w:tcPr>
            <w:tcW w:w="2252" w:type="dxa"/>
            <w:tcBorders>
              <w:top w:val="nil"/>
              <w:left w:val="nil"/>
              <w:bottom w:val="nil"/>
              <w:right w:val="nil"/>
            </w:tcBorders>
            <w:shd w:val="clear" w:color="auto" w:fill="auto"/>
            <w:noWrap/>
            <w:vAlign w:val="bottom"/>
            <w:hideMark/>
          </w:tcPr>
          <w:p w:rsidR="00A13609" w:rsidRPr="00A13609" w:rsidRDefault="00A071B4" w:rsidP="00A13609">
            <w:pPr>
              <w:jc w:val="right"/>
              <w:rPr>
                <w:rFonts w:ascii="Calibri" w:hAnsi="Calibri" w:cs="Arial"/>
                <w:lang w:eastAsia="en-GB"/>
              </w:rPr>
            </w:pPr>
            <w:r>
              <w:rPr>
                <w:rFonts w:ascii="Calibri" w:hAnsi="Calibri" w:cs="Arial"/>
                <w:lang w:eastAsia="en-GB"/>
              </w:rPr>
              <w:t>1,791</w:t>
            </w:r>
          </w:p>
        </w:tc>
        <w:tc>
          <w:tcPr>
            <w:tcW w:w="1575"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r w:rsidRPr="00A13609">
              <w:rPr>
                <w:rFonts w:ascii="Calibri" w:hAnsi="Calibri" w:cs="Arial"/>
                <w:lang w:eastAsia="en-GB"/>
              </w:rPr>
              <w:t>3,773</w:t>
            </w:r>
          </w:p>
        </w:tc>
      </w:tr>
      <w:tr w:rsidR="00A13609" w:rsidRPr="00A13609" w:rsidTr="006A44C0">
        <w:trPr>
          <w:trHeight w:val="115"/>
        </w:trPr>
        <w:tc>
          <w:tcPr>
            <w:tcW w:w="6204" w:type="dxa"/>
            <w:gridSpan w:val="2"/>
            <w:tcBorders>
              <w:top w:val="nil"/>
              <w:left w:val="nil"/>
              <w:bottom w:val="nil"/>
              <w:right w:val="nil"/>
            </w:tcBorders>
            <w:shd w:val="clear" w:color="auto" w:fill="auto"/>
            <w:noWrap/>
            <w:vAlign w:val="bottom"/>
            <w:hideMark/>
          </w:tcPr>
          <w:p w:rsidR="00A13609" w:rsidRPr="00A13609" w:rsidRDefault="00A13609" w:rsidP="00A13609">
            <w:pPr>
              <w:rPr>
                <w:rFonts w:ascii="Calibri" w:hAnsi="Calibri" w:cs="Arial"/>
                <w:lang w:eastAsia="en-GB"/>
              </w:rPr>
            </w:pPr>
            <w:r w:rsidRPr="00A13609">
              <w:rPr>
                <w:rFonts w:ascii="Calibri" w:hAnsi="Calibri" w:cs="Arial"/>
                <w:lang w:eastAsia="en-GB"/>
              </w:rPr>
              <w:t>Cash and cash equivalents at the beginning of the year</w:t>
            </w:r>
          </w:p>
        </w:tc>
        <w:tc>
          <w:tcPr>
            <w:tcW w:w="2252" w:type="dxa"/>
            <w:tcBorders>
              <w:top w:val="nil"/>
              <w:left w:val="nil"/>
              <w:bottom w:val="nil"/>
              <w:right w:val="nil"/>
            </w:tcBorders>
            <w:shd w:val="clear" w:color="auto" w:fill="auto"/>
            <w:noWrap/>
            <w:vAlign w:val="bottom"/>
            <w:hideMark/>
          </w:tcPr>
          <w:p w:rsidR="00A13609" w:rsidRPr="00A13609" w:rsidRDefault="00A071B4" w:rsidP="00A071B4">
            <w:pPr>
              <w:jc w:val="right"/>
              <w:rPr>
                <w:rFonts w:ascii="Calibri" w:hAnsi="Calibri" w:cs="Arial"/>
                <w:lang w:eastAsia="en-GB"/>
              </w:rPr>
            </w:pPr>
            <w:r>
              <w:rPr>
                <w:rFonts w:ascii="Calibri" w:hAnsi="Calibri" w:cs="Arial"/>
                <w:lang w:eastAsia="en-GB"/>
              </w:rPr>
              <w:t>1,004</w:t>
            </w:r>
          </w:p>
        </w:tc>
        <w:tc>
          <w:tcPr>
            <w:tcW w:w="1575"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r w:rsidRPr="00A13609">
              <w:rPr>
                <w:rFonts w:ascii="Calibri" w:hAnsi="Calibri" w:cs="Arial"/>
                <w:lang w:eastAsia="en-GB"/>
              </w:rPr>
              <w:t>(2,769)</w:t>
            </w:r>
          </w:p>
        </w:tc>
      </w:tr>
      <w:tr w:rsidR="00A13609" w:rsidRPr="00A13609" w:rsidTr="006A44C0">
        <w:trPr>
          <w:trHeight w:val="115"/>
        </w:trPr>
        <w:tc>
          <w:tcPr>
            <w:tcW w:w="3631"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c>
          <w:tcPr>
            <w:tcW w:w="2573"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c>
          <w:tcPr>
            <w:tcW w:w="2252"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c>
          <w:tcPr>
            <w:tcW w:w="1575"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r>
      <w:tr w:rsidR="00A13609" w:rsidRPr="00A13609" w:rsidTr="006A44C0">
        <w:trPr>
          <w:trHeight w:val="121"/>
        </w:trPr>
        <w:tc>
          <w:tcPr>
            <w:tcW w:w="6204" w:type="dxa"/>
            <w:gridSpan w:val="2"/>
            <w:tcBorders>
              <w:top w:val="nil"/>
              <w:left w:val="nil"/>
              <w:bottom w:val="nil"/>
              <w:right w:val="nil"/>
            </w:tcBorders>
            <w:shd w:val="clear" w:color="auto" w:fill="auto"/>
            <w:noWrap/>
            <w:vAlign w:val="bottom"/>
            <w:hideMark/>
          </w:tcPr>
          <w:p w:rsidR="00A13609" w:rsidRPr="00A13609" w:rsidRDefault="00A13609" w:rsidP="00A13609">
            <w:pPr>
              <w:rPr>
                <w:rFonts w:ascii="Calibri" w:hAnsi="Calibri" w:cs="Arial"/>
                <w:b/>
                <w:bCs/>
                <w:lang w:eastAsia="en-GB"/>
              </w:rPr>
            </w:pPr>
            <w:r w:rsidRPr="00A13609">
              <w:rPr>
                <w:rFonts w:ascii="Calibri" w:hAnsi="Calibri" w:cs="Arial"/>
                <w:b/>
                <w:bCs/>
                <w:lang w:eastAsia="en-GB"/>
              </w:rPr>
              <w:t>Cash and cash equivalents at the end of the year</w:t>
            </w:r>
          </w:p>
        </w:tc>
        <w:tc>
          <w:tcPr>
            <w:tcW w:w="2252" w:type="dxa"/>
            <w:tcBorders>
              <w:top w:val="single" w:sz="4" w:space="0" w:color="auto"/>
              <w:left w:val="nil"/>
              <w:bottom w:val="single" w:sz="8" w:space="0" w:color="auto"/>
              <w:right w:val="nil"/>
            </w:tcBorders>
            <w:shd w:val="clear" w:color="auto" w:fill="auto"/>
            <w:noWrap/>
            <w:vAlign w:val="bottom"/>
            <w:hideMark/>
          </w:tcPr>
          <w:p w:rsidR="00A13609" w:rsidRPr="00A13609" w:rsidRDefault="00A071B4" w:rsidP="00A13609">
            <w:pPr>
              <w:jc w:val="right"/>
              <w:rPr>
                <w:rFonts w:ascii="Calibri" w:hAnsi="Calibri" w:cs="Arial"/>
                <w:lang w:eastAsia="en-GB"/>
              </w:rPr>
            </w:pPr>
            <w:r>
              <w:rPr>
                <w:rFonts w:ascii="Calibri" w:hAnsi="Calibri" w:cs="Arial"/>
                <w:lang w:eastAsia="en-GB"/>
              </w:rPr>
              <w:t>2,795</w:t>
            </w:r>
          </w:p>
        </w:tc>
        <w:tc>
          <w:tcPr>
            <w:tcW w:w="1575" w:type="dxa"/>
            <w:tcBorders>
              <w:top w:val="single" w:sz="4" w:space="0" w:color="auto"/>
              <w:left w:val="nil"/>
              <w:bottom w:val="single" w:sz="8" w:space="0" w:color="auto"/>
              <w:right w:val="nil"/>
            </w:tcBorders>
            <w:shd w:val="clear" w:color="auto" w:fill="auto"/>
            <w:noWrap/>
            <w:vAlign w:val="bottom"/>
            <w:hideMark/>
          </w:tcPr>
          <w:p w:rsidR="00A13609" w:rsidRPr="00A13609" w:rsidRDefault="00A13609" w:rsidP="00A13609">
            <w:pPr>
              <w:jc w:val="right"/>
              <w:rPr>
                <w:rFonts w:ascii="Calibri" w:hAnsi="Calibri" w:cs="Arial"/>
                <w:lang w:eastAsia="en-GB"/>
              </w:rPr>
            </w:pPr>
            <w:r w:rsidRPr="00A13609">
              <w:rPr>
                <w:rFonts w:ascii="Calibri" w:hAnsi="Calibri" w:cs="Arial"/>
                <w:lang w:eastAsia="en-GB"/>
              </w:rPr>
              <w:t>1,004</w:t>
            </w:r>
          </w:p>
        </w:tc>
      </w:tr>
      <w:tr w:rsidR="00A13609" w:rsidRPr="00A13609" w:rsidTr="006A44C0">
        <w:trPr>
          <w:trHeight w:val="115"/>
        </w:trPr>
        <w:tc>
          <w:tcPr>
            <w:tcW w:w="3631"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c>
          <w:tcPr>
            <w:tcW w:w="2573"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c>
          <w:tcPr>
            <w:tcW w:w="2252"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c>
          <w:tcPr>
            <w:tcW w:w="1575"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r>
      <w:tr w:rsidR="00A13609" w:rsidRPr="00A13609" w:rsidTr="006A44C0">
        <w:trPr>
          <w:trHeight w:val="115"/>
        </w:trPr>
        <w:tc>
          <w:tcPr>
            <w:tcW w:w="8456" w:type="dxa"/>
            <w:gridSpan w:val="3"/>
            <w:tcBorders>
              <w:top w:val="nil"/>
              <w:left w:val="nil"/>
              <w:bottom w:val="nil"/>
              <w:right w:val="nil"/>
            </w:tcBorders>
            <w:shd w:val="clear" w:color="auto" w:fill="auto"/>
            <w:noWrap/>
            <w:vAlign w:val="bottom"/>
            <w:hideMark/>
          </w:tcPr>
          <w:p w:rsidR="00A13609" w:rsidRPr="00A13609" w:rsidRDefault="00A13609" w:rsidP="00A13609">
            <w:pPr>
              <w:rPr>
                <w:rFonts w:ascii="Calibri" w:hAnsi="Calibri" w:cs="Arial"/>
                <w:b/>
                <w:bCs/>
                <w:lang w:eastAsia="en-GB"/>
              </w:rPr>
            </w:pPr>
            <w:r w:rsidRPr="00A13609">
              <w:rPr>
                <w:rFonts w:ascii="Calibri" w:hAnsi="Calibri" w:cs="Arial"/>
                <w:b/>
                <w:bCs/>
                <w:lang w:eastAsia="en-GB"/>
              </w:rPr>
              <w:t>Cash and cash equivalents comprise:</w:t>
            </w:r>
          </w:p>
        </w:tc>
        <w:tc>
          <w:tcPr>
            <w:tcW w:w="1575"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r>
      <w:tr w:rsidR="00A13609" w:rsidRPr="00A13609" w:rsidTr="006A44C0">
        <w:trPr>
          <w:trHeight w:val="115"/>
        </w:trPr>
        <w:tc>
          <w:tcPr>
            <w:tcW w:w="6204" w:type="dxa"/>
            <w:gridSpan w:val="2"/>
            <w:tcBorders>
              <w:top w:val="nil"/>
              <w:left w:val="nil"/>
              <w:bottom w:val="nil"/>
              <w:right w:val="nil"/>
            </w:tcBorders>
            <w:shd w:val="clear" w:color="auto" w:fill="auto"/>
            <w:noWrap/>
            <w:vAlign w:val="bottom"/>
            <w:hideMark/>
          </w:tcPr>
          <w:p w:rsidR="00A13609" w:rsidRPr="00A13609" w:rsidRDefault="00A13609" w:rsidP="00A13609">
            <w:pPr>
              <w:rPr>
                <w:rFonts w:ascii="Calibri" w:hAnsi="Calibri" w:cs="Arial"/>
                <w:lang w:eastAsia="en-GB"/>
              </w:rPr>
            </w:pPr>
            <w:r w:rsidRPr="00A13609">
              <w:rPr>
                <w:rFonts w:ascii="Calibri" w:hAnsi="Calibri" w:cs="Arial"/>
                <w:lang w:eastAsia="en-GB"/>
              </w:rPr>
              <w:t>Cash at bank and in hand</w:t>
            </w:r>
          </w:p>
        </w:tc>
        <w:tc>
          <w:tcPr>
            <w:tcW w:w="2252" w:type="dxa"/>
            <w:tcBorders>
              <w:top w:val="nil"/>
              <w:left w:val="nil"/>
              <w:bottom w:val="nil"/>
              <w:right w:val="nil"/>
            </w:tcBorders>
            <w:shd w:val="clear" w:color="auto" w:fill="auto"/>
            <w:noWrap/>
            <w:vAlign w:val="bottom"/>
            <w:hideMark/>
          </w:tcPr>
          <w:p w:rsidR="00A13609" w:rsidRPr="00A13609" w:rsidRDefault="00A13609" w:rsidP="00A071B4">
            <w:pPr>
              <w:jc w:val="right"/>
              <w:rPr>
                <w:rFonts w:ascii="Calibri" w:hAnsi="Calibri" w:cs="Arial"/>
                <w:lang w:eastAsia="en-GB"/>
              </w:rPr>
            </w:pPr>
            <w:r w:rsidRPr="00A13609">
              <w:rPr>
                <w:rFonts w:ascii="Calibri" w:hAnsi="Calibri" w:cs="Arial"/>
                <w:lang w:eastAsia="en-GB"/>
              </w:rPr>
              <w:t xml:space="preserve">       2,</w:t>
            </w:r>
            <w:r w:rsidR="00A071B4">
              <w:rPr>
                <w:rFonts w:ascii="Calibri" w:hAnsi="Calibri" w:cs="Arial"/>
                <w:lang w:eastAsia="en-GB"/>
              </w:rPr>
              <w:t>809</w:t>
            </w:r>
            <w:r w:rsidRPr="00A13609">
              <w:rPr>
                <w:rFonts w:ascii="Calibri" w:hAnsi="Calibri" w:cs="Arial"/>
                <w:lang w:eastAsia="en-GB"/>
              </w:rPr>
              <w:t xml:space="preserve"> </w:t>
            </w:r>
          </w:p>
        </w:tc>
        <w:tc>
          <w:tcPr>
            <w:tcW w:w="1575"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r w:rsidRPr="00A13609">
              <w:rPr>
                <w:rFonts w:ascii="Calibri" w:hAnsi="Calibri" w:cs="Arial"/>
                <w:lang w:eastAsia="en-GB"/>
              </w:rPr>
              <w:t xml:space="preserve">       2,170 </w:t>
            </w:r>
          </w:p>
        </w:tc>
      </w:tr>
      <w:tr w:rsidR="00A13609" w:rsidRPr="00A13609" w:rsidTr="006A44C0">
        <w:trPr>
          <w:trHeight w:val="115"/>
        </w:trPr>
        <w:tc>
          <w:tcPr>
            <w:tcW w:w="3631" w:type="dxa"/>
            <w:tcBorders>
              <w:top w:val="nil"/>
              <w:left w:val="nil"/>
              <w:bottom w:val="nil"/>
              <w:right w:val="nil"/>
            </w:tcBorders>
            <w:shd w:val="clear" w:color="auto" w:fill="auto"/>
            <w:noWrap/>
            <w:vAlign w:val="bottom"/>
            <w:hideMark/>
          </w:tcPr>
          <w:p w:rsidR="00A13609" w:rsidRPr="00A13609" w:rsidRDefault="00A13609" w:rsidP="00A13609">
            <w:pPr>
              <w:rPr>
                <w:rFonts w:ascii="Calibri" w:hAnsi="Calibri" w:cs="Arial"/>
                <w:lang w:eastAsia="en-GB"/>
              </w:rPr>
            </w:pPr>
            <w:r w:rsidRPr="00A13609">
              <w:rPr>
                <w:rFonts w:ascii="Calibri" w:hAnsi="Calibri" w:cs="Arial"/>
                <w:lang w:eastAsia="en-GB"/>
              </w:rPr>
              <w:t>Bank overdraft</w:t>
            </w:r>
          </w:p>
        </w:tc>
        <w:tc>
          <w:tcPr>
            <w:tcW w:w="2573"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c>
          <w:tcPr>
            <w:tcW w:w="2252" w:type="dxa"/>
            <w:tcBorders>
              <w:top w:val="nil"/>
              <w:left w:val="nil"/>
              <w:bottom w:val="nil"/>
              <w:right w:val="nil"/>
            </w:tcBorders>
            <w:shd w:val="clear" w:color="auto" w:fill="auto"/>
            <w:noWrap/>
            <w:vAlign w:val="bottom"/>
            <w:hideMark/>
          </w:tcPr>
          <w:p w:rsidR="00A13609" w:rsidRPr="00A13609" w:rsidRDefault="00A13609" w:rsidP="00A071B4">
            <w:pPr>
              <w:jc w:val="right"/>
              <w:rPr>
                <w:rFonts w:ascii="Calibri" w:hAnsi="Calibri" w:cs="Arial"/>
                <w:lang w:eastAsia="en-GB"/>
              </w:rPr>
            </w:pPr>
            <w:r w:rsidRPr="00A13609">
              <w:rPr>
                <w:rFonts w:ascii="Calibri" w:hAnsi="Calibri" w:cs="Arial"/>
                <w:lang w:eastAsia="en-GB"/>
              </w:rPr>
              <w:t>(1</w:t>
            </w:r>
            <w:r w:rsidR="00A071B4">
              <w:rPr>
                <w:rFonts w:ascii="Calibri" w:hAnsi="Calibri" w:cs="Arial"/>
                <w:lang w:eastAsia="en-GB"/>
              </w:rPr>
              <w:t>4</w:t>
            </w:r>
            <w:r w:rsidRPr="00A13609">
              <w:rPr>
                <w:rFonts w:ascii="Calibri" w:hAnsi="Calibri" w:cs="Arial"/>
                <w:lang w:eastAsia="en-GB"/>
              </w:rPr>
              <w:t>)</w:t>
            </w:r>
          </w:p>
        </w:tc>
        <w:tc>
          <w:tcPr>
            <w:tcW w:w="1575"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r w:rsidRPr="00A13609">
              <w:rPr>
                <w:rFonts w:ascii="Calibri" w:hAnsi="Calibri" w:cs="Arial"/>
                <w:lang w:eastAsia="en-GB"/>
              </w:rPr>
              <w:t>(</w:t>
            </w:r>
            <w:r>
              <w:rPr>
                <w:rFonts w:ascii="Calibri" w:hAnsi="Calibri" w:cs="Arial"/>
                <w:lang w:eastAsia="en-GB"/>
              </w:rPr>
              <w:t>1</w:t>
            </w:r>
            <w:r w:rsidRPr="00A13609">
              <w:rPr>
                <w:rFonts w:ascii="Calibri" w:hAnsi="Calibri" w:cs="Arial"/>
                <w:lang w:eastAsia="en-GB"/>
              </w:rPr>
              <w:t>,</w:t>
            </w:r>
            <w:r>
              <w:rPr>
                <w:rFonts w:ascii="Calibri" w:hAnsi="Calibri" w:cs="Arial"/>
                <w:lang w:eastAsia="en-GB"/>
              </w:rPr>
              <w:t>166</w:t>
            </w:r>
            <w:r w:rsidRPr="00A13609">
              <w:rPr>
                <w:rFonts w:ascii="Calibri" w:hAnsi="Calibri" w:cs="Arial"/>
                <w:lang w:eastAsia="en-GB"/>
              </w:rPr>
              <w:t>)</w:t>
            </w:r>
          </w:p>
        </w:tc>
      </w:tr>
      <w:tr w:rsidR="00A13609" w:rsidRPr="00A13609" w:rsidTr="006A44C0">
        <w:trPr>
          <w:trHeight w:val="115"/>
        </w:trPr>
        <w:tc>
          <w:tcPr>
            <w:tcW w:w="3631"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c>
          <w:tcPr>
            <w:tcW w:w="2573"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c>
          <w:tcPr>
            <w:tcW w:w="2252"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c>
          <w:tcPr>
            <w:tcW w:w="1575"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r>
      <w:tr w:rsidR="00A13609" w:rsidRPr="00A13609" w:rsidTr="006A44C0">
        <w:trPr>
          <w:trHeight w:val="121"/>
        </w:trPr>
        <w:tc>
          <w:tcPr>
            <w:tcW w:w="3631"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c>
          <w:tcPr>
            <w:tcW w:w="2573"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c>
          <w:tcPr>
            <w:tcW w:w="2252" w:type="dxa"/>
            <w:tcBorders>
              <w:top w:val="single" w:sz="4" w:space="0" w:color="auto"/>
              <w:left w:val="nil"/>
              <w:bottom w:val="single" w:sz="8" w:space="0" w:color="auto"/>
              <w:right w:val="nil"/>
            </w:tcBorders>
            <w:shd w:val="clear" w:color="auto" w:fill="auto"/>
            <w:noWrap/>
            <w:vAlign w:val="bottom"/>
            <w:hideMark/>
          </w:tcPr>
          <w:p w:rsidR="00A13609" w:rsidRPr="00A13609" w:rsidRDefault="00A071B4" w:rsidP="00A13609">
            <w:pPr>
              <w:jc w:val="right"/>
              <w:rPr>
                <w:rFonts w:ascii="Calibri" w:hAnsi="Calibri" w:cs="Arial"/>
                <w:lang w:eastAsia="en-GB"/>
              </w:rPr>
            </w:pPr>
            <w:r>
              <w:rPr>
                <w:rFonts w:ascii="Calibri" w:hAnsi="Calibri" w:cs="Arial"/>
                <w:lang w:eastAsia="en-GB"/>
              </w:rPr>
              <w:t>2,795</w:t>
            </w:r>
          </w:p>
        </w:tc>
        <w:tc>
          <w:tcPr>
            <w:tcW w:w="1575" w:type="dxa"/>
            <w:tcBorders>
              <w:top w:val="single" w:sz="4" w:space="0" w:color="auto"/>
              <w:left w:val="nil"/>
              <w:bottom w:val="single" w:sz="8" w:space="0" w:color="auto"/>
              <w:right w:val="nil"/>
            </w:tcBorders>
            <w:shd w:val="clear" w:color="auto" w:fill="auto"/>
            <w:noWrap/>
            <w:vAlign w:val="bottom"/>
            <w:hideMark/>
          </w:tcPr>
          <w:p w:rsidR="00A13609" w:rsidRPr="00A13609" w:rsidRDefault="00A13609" w:rsidP="00A13609">
            <w:pPr>
              <w:jc w:val="right"/>
              <w:rPr>
                <w:rFonts w:ascii="Calibri" w:hAnsi="Calibri" w:cs="Arial"/>
                <w:lang w:eastAsia="en-GB"/>
              </w:rPr>
            </w:pPr>
            <w:r>
              <w:rPr>
                <w:rFonts w:ascii="Calibri" w:hAnsi="Calibri" w:cs="Arial"/>
                <w:lang w:eastAsia="en-GB"/>
              </w:rPr>
              <w:t>(1</w:t>
            </w:r>
            <w:r w:rsidRPr="00A13609">
              <w:rPr>
                <w:rFonts w:ascii="Calibri" w:hAnsi="Calibri" w:cs="Arial"/>
                <w:lang w:eastAsia="en-GB"/>
              </w:rPr>
              <w:t>,</w:t>
            </w:r>
            <w:r>
              <w:rPr>
                <w:rFonts w:ascii="Calibri" w:hAnsi="Calibri" w:cs="Arial"/>
                <w:lang w:eastAsia="en-GB"/>
              </w:rPr>
              <w:t>004</w:t>
            </w:r>
            <w:r w:rsidRPr="00A13609">
              <w:rPr>
                <w:rFonts w:ascii="Calibri" w:hAnsi="Calibri" w:cs="Arial"/>
                <w:lang w:eastAsia="en-GB"/>
              </w:rPr>
              <w:t>)</w:t>
            </w:r>
          </w:p>
        </w:tc>
      </w:tr>
      <w:tr w:rsidR="00A13609" w:rsidRPr="00284A95" w:rsidTr="006A44C0">
        <w:trPr>
          <w:trHeight w:val="115"/>
        </w:trPr>
        <w:tc>
          <w:tcPr>
            <w:tcW w:w="3631"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c>
          <w:tcPr>
            <w:tcW w:w="2573"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c>
          <w:tcPr>
            <w:tcW w:w="2252"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c>
          <w:tcPr>
            <w:tcW w:w="1575" w:type="dxa"/>
            <w:tcBorders>
              <w:top w:val="nil"/>
              <w:left w:val="nil"/>
              <w:bottom w:val="nil"/>
              <w:right w:val="nil"/>
            </w:tcBorders>
            <w:shd w:val="clear" w:color="auto" w:fill="auto"/>
            <w:noWrap/>
            <w:vAlign w:val="bottom"/>
            <w:hideMark/>
          </w:tcPr>
          <w:p w:rsidR="00A13609" w:rsidRPr="00A13609" w:rsidRDefault="00A13609" w:rsidP="00A13609">
            <w:pPr>
              <w:jc w:val="right"/>
              <w:rPr>
                <w:rFonts w:ascii="Calibri" w:hAnsi="Calibri" w:cs="Arial"/>
                <w:lang w:eastAsia="en-GB"/>
              </w:rPr>
            </w:pPr>
          </w:p>
        </w:tc>
      </w:tr>
    </w:tbl>
    <w:p w:rsidR="008B63DC" w:rsidRPr="00284A95" w:rsidRDefault="008B63DC" w:rsidP="006A44C0">
      <w:pPr>
        <w:spacing w:after="200" w:line="276" w:lineRule="auto"/>
        <w:jc w:val="left"/>
        <w:rPr>
          <w:rFonts w:ascii="Arial" w:hAnsi="Arial" w:cs="Arial"/>
          <w:sz w:val="20"/>
          <w:szCs w:val="20"/>
          <w:highlight w:val="yellow"/>
        </w:rPr>
      </w:pPr>
    </w:p>
    <w:p w:rsidR="008B63DC" w:rsidRPr="00284A95" w:rsidRDefault="008B63DC" w:rsidP="00A50DD0">
      <w:pPr>
        <w:jc w:val="left"/>
        <w:rPr>
          <w:rFonts w:ascii="Arial" w:hAnsi="Arial" w:cs="Arial"/>
          <w:b/>
          <w:bCs/>
          <w:sz w:val="20"/>
          <w:szCs w:val="20"/>
          <w:highlight w:val="yellow"/>
        </w:rPr>
      </w:pPr>
    </w:p>
    <w:p w:rsidR="008B63DC" w:rsidRPr="007F250A" w:rsidRDefault="008B63DC" w:rsidP="00A50DD0">
      <w:pPr>
        <w:jc w:val="left"/>
        <w:rPr>
          <w:rFonts w:asciiTheme="minorHAnsi" w:hAnsiTheme="minorHAnsi" w:cs="Arial"/>
          <w:sz w:val="20"/>
          <w:szCs w:val="20"/>
        </w:rPr>
      </w:pPr>
      <w:r w:rsidRPr="007F250A">
        <w:rPr>
          <w:rFonts w:asciiTheme="minorHAnsi" w:hAnsiTheme="minorHAnsi" w:cs="Arial"/>
          <w:b/>
          <w:bCs/>
          <w:sz w:val="20"/>
          <w:szCs w:val="20"/>
        </w:rPr>
        <w:lastRenderedPageBreak/>
        <w:t>NOTES TO THE FINANCIAL STATEMENTS</w:t>
      </w:r>
      <w:r w:rsidRPr="007F250A">
        <w:rPr>
          <w:rFonts w:asciiTheme="minorHAnsi" w:hAnsiTheme="minorHAnsi" w:cs="Arial"/>
          <w:sz w:val="20"/>
          <w:szCs w:val="20"/>
        </w:rPr>
        <w:t xml:space="preserve"> </w:t>
      </w:r>
    </w:p>
    <w:p w:rsidR="008B63DC" w:rsidRPr="007F250A" w:rsidRDefault="008B63DC" w:rsidP="00A50DD0">
      <w:pPr>
        <w:jc w:val="left"/>
        <w:rPr>
          <w:rFonts w:asciiTheme="minorHAnsi" w:hAnsiTheme="minorHAnsi" w:cs="Arial"/>
          <w:sz w:val="20"/>
          <w:szCs w:val="20"/>
        </w:rPr>
      </w:pPr>
    </w:p>
    <w:p w:rsidR="008B63DC" w:rsidRPr="007F250A" w:rsidRDefault="008B63DC" w:rsidP="00A50DD0">
      <w:pPr>
        <w:pStyle w:val="NormalWeb"/>
        <w:spacing w:before="0" w:beforeAutospacing="0" w:after="0" w:afterAutospacing="0"/>
        <w:jc w:val="both"/>
        <w:rPr>
          <w:rFonts w:asciiTheme="minorHAnsi" w:hAnsiTheme="minorHAnsi" w:cs="Arial"/>
          <w:b/>
          <w:sz w:val="20"/>
          <w:szCs w:val="20"/>
        </w:rPr>
      </w:pPr>
      <w:r w:rsidRPr="007F250A">
        <w:rPr>
          <w:rFonts w:asciiTheme="minorHAnsi" w:hAnsiTheme="minorHAnsi" w:cs="Arial"/>
          <w:b/>
          <w:sz w:val="20"/>
          <w:szCs w:val="20"/>
        </w:rPr>
        <w:t xml:space="preserve">1. ACCOUNTING POLICIES </w:t>
      </w:r>
    </w:p>
    <w:p w:rsidR="008B63DC" w:rsidRPr="007F250A" w:rsidRDefault="008B63DC" w:rsidP="00A50DD0">
      <w:pPr>
        <w:pStyle w:val="NormalWeb"/>
        <w:spacing w:before="0" w:beforeAutospacing="0" w:after="0" w:afterAutospacing="0"/>
        <w:jc w:val="both"/>
        <w:rPr>
          <w:rFonts w:asciiTheme="minorHAnsi" w:hAnsiTheme="minorHAnsi" w:cs="Arial"/>
          <w:b/>
          <w:sz w:val="20"/>
          <w:szCs w:val="20"/>
        </w:rPr>
      </w:pPr>
    </w:p>
    <w:p w:rsidR="008B63DC" w:rsidRPr="007F250A" w:rsidRDefault="007F250A" w:rsidP="00A50DD0">
      <w:pPr>
        <w:pStyle w:val="NormalWeb"/>
        <w:spacing w:before="0" w:beforeAutospacing="0" w:after="0" w:afterAutospacing="0"/>
        <w:jc w:val="both"/>
        <w:rPr>
          <w:rStyle w:val="is"/>
          <w:color w:val="444444"/>
          <w:sz w:val="18"/>
          <w:szCs w:val="18"/>
          <w:lang w:val="en"/>
        </w:rPr>
      </w:pPr>
      <w:r w:rsidRPr="007F250A">
        <w:rPr>
          <w:rFonts w:asciiTheme="minorHAnsi" w:hAnsiTheme="minorHAnsi" w:cs="Arial"/>
          <w:sz w:val="20"/>
          <w:szCs w:val="20"/>
          <w:lang w:eastAsia="en-US"/>
        </w:rPr>
        <w:t xml:space="preserve">The consolidated financial statements have been prepared in accordance with International Financial Reporting Standards </w:t>
      </w:r>
      <w:r w:rsidR="00A36B96">
        <w:rPr>
          <w:rFonts w:asciiTheme="minorHAnsi" w:hAnsiTheme="minorHAnsi" w:cs="Arial"/>
          <w:sz w:val="20"/>
          <w:szCs w:val="20"/>
          <w:lang w:eastAsia="en-US"/>
        </w:rPr>
        <w:t>as adopted by the European Union (“</w:t>
      </w:r>
      <w:r w:rsidRPr="007F250A">
        <w:rPr>
          <w:rFonts w:asciiTheme="minorHAnsi" w:hAnsiTheme="minorHAnsi" w:cs="Arial"/>
          <w:sz w:val="20"/>
          <w:szCs w:val="20"/>
          <w:lang w:eastAsia="en-US"/>
        </w:rPr>
        <w:t>IFRSs</w:t>
      </w:r>
      <w:r w:rsidR="00A36B96">
        <w:rPr>
          <w:rFonts w:asciiTheme="minorHAnsi" w:hAnsiTheme="minorHAnsi" w:cs="Arial"/>
          <w:sz w:val="20"/>
          <w:szCs w:val="20"/>
          <w:lang w:eastAsia="en-US"/>
        </w:rPr>
        <w:t xml:space="preserve"> as adopted by the EU</w:t>
      </w:r>
      <w:r w:rsidRPr="007F250A">
        <w:rPr>
          <w:rFonts w:asciiTheme="minorHAnsi" w:hAnsiTheme="minorHAnsi" w:cs="Arial"/>
          <w:sz w:val="20"/>
          <w:szCs w:val="20"/>
          <w:lang w:eastAsia="en-US"/>
        </w:rPr>
        <w:t>")</w:t>
      </w:r>
      <w:r w:rsidR="00A36B96">
        <w:rPr>
          <w:rFonts w:asciiTheme="minorHAnsi" w:hAnsiTheme="minorHAnsi" w:cs="Arial"/>
          <w:sz w:val="20"/>
          <w:szCs w:val="20"/>
          <w:lang w:eastAsia="en-US"/>
        </w:rPr>
        <w:t>,</w:t>
      </w:r>
      <w:r w:rsidRPr="007F250A">
        <w:rPr>
          <w:rFonts w:asciiTheme="minorHAnsi" w:hAnsiTheme="minorHAnsi" w:cs="Arial"/>
          <w:sz w:val="20"/>
          <w:szCs w:val="20"/>
          <w:lang w:eastAsia="en-US"/>
        </w:rPr>
        <w:t xml:space="preserve"> IFRS Interpretations Committee interpretations and with those parts of the Companies Act 2006 applicable to companies reporting under </w:t>
      </w:r>
      <w:r w:rsidR="00A36B96">
        <w:rPr>
          <w:rFonts w:asciiTheme="minorHAnsi" w:hAnsiTheme="minorHAnsi" w:cs="Arial"/>
          <w:sz w:val="20"/>
          <w:szCs w:val="20"/>
          <w:lang w:eastAsia="en-US"/>
        </w:rPr>
        <w:t>IFRS</w:t>
      </w:r>
      <w:r w:rsidRPr="007F250A">
        <w:rPr>
          <w:rFonts w:asciiTheme="minorHAnsi" w:hAnsiTheme="minorHAnsi" w:cs="Arial"/>
          <w:sz w:val="20"/>
          <w:szCs w:val="20"/>
          <w:lang w:eastAsia="en-US"/>
        </w:rPr>
        <w:t>. There have been no changes to the accounting policies adopted since the last consolidated financial statements were published</w:t>
      </w:r>
      <w:r w:rsidRPr="007F250A">
        <w:rPr>
          <w:rStyle w:val="is"/>
          <w:color w:val="444444"/>
          <w:sz w:val="18"/>
          <w:szCs w:val="18"/>
          <w:lang w:val="en"/>
        </w:rPr>
        <w:t>.</w:t>
      </w:r>
    </w:p>
    <w:p w:rsidR="007F250A" w:rsidRPr="007F250A" w:rsidRDefault="007F250A" w:rsidP="00A50DD0">
      <w:pPr>
        <w:pStyle w:val="NormalWeb"/>
        <w:spacing w:before="0" w:beforeAutospacing="0" w:after="0" w:afterAutospacing="0"/>
        <w:jc w:val="both"/>
        <w:rPr>
          <w:rFonts w:asciiTheme="minorHAnsi" w:hAnsiTheme="minorHAnsi" w:cs="Arial"/>
          <w:sz w:val="20"/>
          <w:szCs w:val="20"/>
        </w:rPr>
      </w:pPr>
    </w:p>
    <w:p w:rsidR="008B63DC" w:rsidRPr="007F250A" w:rsidRDefault="008B63DC" w:rsidP="00A50DD0">
      <w:pPr>
        <w:pStyle w:val="NormalWeb"/>
        <w:spacing w:before="0" w:beforeAutospacing="0" w:after="0" w:afterAutospacing="0"/>
        <w:jc w:val="both"/>
        <w:rPr>
          <w:rFonts w:asciiTheme="minorHAnsi" w:hAnsiTheme="minorHAnsi" w:cs="Arial"/>
          <w:b/>
          <w:sz w:val="20"/>
          <w:szCs w:val="20"/>
        </w:rPr>
      </w:pPr>
      <w:r w:rsidRPr="007F250A">
        <w:rPr>
          <w:rFonts w:asciiTheme="minorHAnsi" w:hAnsiTheme="minorHAnsi" w:cs="Arial"/>
          <w:b/>
          <w:sz w:val="20"/>
          <w:szCs w:val="20"/>
        </w:rPr>
        <w:t xml:space="preserve">2. FINANCIAL INFORMATION </w:t>
      </w:r>
    </w:p>
    <w:p w:rsidR="008B63DC" w:rsidRPr="007F250A" w:rsidRDefault="008B63DC" w:rsidP="00A50DD0">
      <w:pPr>
        <w:pStyle w:val="NormalWeb"/>
        <w:spacing w:before="0" w:beforeAutospacing="0" w:after="0" w:afterAutospacing="0"/>
        <w:jc w:val="both"/>
        <w:rPr>
          <w:rFonts w:asciiTheme="minorHAnsi" w:hAnsiTheme="minorHAnsi" w:cs="Arial"/>
          <w:b/>
          <w:sz w:val="20"/>
          <w:szCs w:val="20"/>
        </w:rPr>
      </w:pPr>
    </w:p>
    <w:p w:rsidR="00A36B96" w:rsidRPr="00A36B96" w:rsidRDefault="00A36B96" w:rsidP="00A36B96">
      <w:pPr>
        <w:pStyle w:val="NormalWeb"/>
        <w:spacing w:before="0" w:beforeAutospacing="0" w:after="0" w:afterAutospacing="0"/>
        <w:jc w:val="both"/>
        <w:rPr>
          <w:rFonts w:asciiTheme="minorHAnsi" w:hAnsiTheme="minorHAnsi" w:cs="Arial"/>
          <w:sz w:val="20"/>
          <w:szCs w:val="20"/>
          <w:lang w:eastAsia="en-US"/>
        </w:rPr>
      </w:pPr>
      <w:r w:rsidRPr="00A36B96">
        <w:rPr>
          <w:rFonts w:asciiTheme="minorHAnsi" w:hAnsiTheme="minorHAnsi" w:cs="Arial"/>
          <w:sz w:val="20"/>
          <w:szCs w:val="20"/>
          <w:lang w:eastAsia="en-US"/>
        </w:rPr>
        <w:t>The financial information set out in this Preliminary Announcement does not constitute the Group's statutory financial statements for the years ended 31 December 201</w:t>
      </w:r>
      <w:r>
        <w:rPr>
          <w:rFonts w:asciiTheme="minorHAnsi" w:hAnsiTheme="minorHAnsi" w:cs="Arial"/>
          <w:sz w:val="20"/>
          <w:szCs w:val="20"/>
          <w:lang w:eastAsia="en-US"/>
        </w:rPr>
        <w:t>4</w:t>
      </w:r>
      <w:r w:rsidRPr="00A36B96">
        <w:rPr>
          <w:rFonts w:asciiTheme="minorHAnsi" w:hAnsiTheme="minorHAnsi" w:cs="Arial"/>
          <w:sz w:val="20"/>
          <w:szCs w:val="20"/>
          <w:lang w:eastAsia="en-US"/>
        </w:rPr>
        <w:t xml:space="preserve"> or 201</w:t>
      </w:r>
      <w:r>
        <w:rPr>
          <w:rFonts w:asciiTheme="minorHAnsi" w:hAnsiTheme="minorHAnsi" w:cs="Arial"/>
          <w:sz w:val="20"/>
          <w:szCs w:val="20"/>
          <w:lang w:eastAsia="en-US"/>
        </w:rPr>
        <w:t>3</w:t>
      </w:r>
      <w:r w:rsidRPr="00A36B96">
        <w:rPr>
          <w:rFonts w:asciiTheme="minorHAnsi" w:hAnsiTheme="minorHAnsi" w:cs="Arial"/>
          <w:sz w:val="20"/>
          <w:szCs w:val="20"/>
          <w:lang w:eastAsia="en-US"/>
        </w:rPr>
        <w:t>. The financial information has been extracted from the Group's statutory financial statements for the years ended 31 December 201</w:t>
      </w:r>
      <w:r>
        <w:rPr>
          <w:rFonts w:asciiTheme="minorHAnsi" w:hAnsiTheme="minorHAnsi" w:cs="Arial"/>
          <w:sz w:val="20"/>
          <w:szCs w:val="20"/>
          <w:lang w:eastAsia="en-US"/>
        </w:rPr>
        <w:t>4</w:t>
      </w:r>
      <w:r w:rsidRPr="00A36B96">
        <w:rPr>
          <w:rFonts w:asciiTheme="minorHAnsi" w:hAnsiTheme="minorHAnsi" w:cs="Arial"/>
          <w:sz w:val="20"/>
          <w:szCs w:val="20"/>
          <w:lang w:eastAsia="en-US"/>
        </w:rPr>
        <w:t xml:space="preserve"> and 201</w:t>
      </w:r>
      <w:r>
        <w:rPr>
          <w:rFonts w:asciiTheme="minorHAnsi" w:hAnsiTheme="minorHAnsi" w:cs="Arial"/>
          <w:sz w:val="20"/>
          <w:szCs w:val="20"/>
          <w:lang w:eastAsia="en-US"/>
        </w:rPr>
        <w:t>3</w:t>
      </w:r>
      <w:r w:rsidRPr="00A36B96">
        <w:rPr>
          <w:rFonts w:asciiTheme="minorHAnsi" w:hAnsiTheme="minorHAnsi" w:cs="Arial"/>
          <w:sz w:val="20"/>
          <w:szCs w:val="20"/>
          <w:lang w:eastAsia="en-US"/>
        </w:rPr>
        <w:t xml:space="preserve">. The auditors have reported on those financial statements; their report was unqualified, did not include references to any matters to which the auditors drew attention by way of emphasis and did not contain a statement under Section 498(2) or (3) of the Companies Act 2006. </w:t>
      </w:r>
    </w:p>
    <w:p w:rsidR="00A36B96" w:rsidRPr="00A36B96" w:rsidRDefault="00A36B96" w:rsidP="00A36B96">
      <w:pPr>
        <w:pStyle w:val="NormalWeb"/>
        <w:spacing w:before="0" w:beforeAutospacing="0" w:after="0" w:afterAutospacing="0"/>
        <w:jc w:val="both"/>
        <w:rPr>
          <w:rFonts w:asciiTheme="minorHAnsi" w:hAnsiTheme="minorHAnsi" w:cs="Arial"/>
          <w:sz w:val="20"/>
          <w:szCs w:val="20"/>
          <w:lang w:eastAsia="en-US"/>
        </w:rPr>
      </w:pPr>
      <w:r w:rsidRPr="00A36B96">
        <w:rPr>
          <w:rFonts w:asciiTheme="minorHAnsi" w:hAnsiTheme="minorHAnsi" w:cs="Arial"/>
          <w:sz w:val="20"/>
          <w:szCs w:val="20"/>
          <w:lang w:eastAsia="en-US"/>
        </w:rPr>
        <w:t> </w:t>
      </w:r>
    </w:p>
    <w:p w:rsidR="00A36B96" w:rsidRPr="00A36B96" w:rsidRDefault="00A36B96" w:rsidP="00A36B96">
      <w:pPr>
        <w:pStyle w:val="NormalWeb"/>
        <w:spacing w:before="0" w:beforeAutospacing="0" w:after="0" w:afterAutospacing="0"/>
        <w:jc w:val="both"/>
        <w:rPr>
          <w:rFonts w:asciiTheme="minorHAnsi" w:hAnsiTheme="minorHAnsi" w:cs="Arial"/>
          <w:sz w:val="20"/>
          <w:szCs w:val="20"/>
          <w:lang w:eastAsia="en-US"/>
        </w:rPr>
      </w:pPr>
      <w:r w:rsidRPr="00A36B96">
        <w:rPr>
          <w:rFonts w:asciiTheme="minorHAnsi" w:hAnsiTheme="minorHAnsi" w:cs="Arial"/>
          <w:sz w:val="20"/>
          <w:szCs w:val="20"/>
          <w:lang w:eastAsia="en-US"/>
        </w:rPr>
        <w:t>The statutory accounts for the year ended 31 December 201</w:t>
      </w:r>
      <w:r>
        <w:rPr>
          <w:rFonts w:asciiTheme="minorHAnsi" w:hAnsiTheme="minorHAnsi" w:cs="Arial"/>
          <w:sz w:val="20"/>
          <w:szCs w:val="20"/>
          <w:lang w:eastAsia="en-US"/>
        </w:rPr>
        <w:t>3</w:t>
      </w:r>
      <w:r w:rsidRPr="00A36B96">
        <w:rPr>
          <w:rFonts w:asciiTheme="minorHAnsi" w:hAnsiTheme="minorHAnsi" w:cs="Arial"/>
          <w:sz w:val="20"/>
          <w:szCs w:val="20"/>
          <w:lang w:eastAsia="en-US"/>
        </w:rPr>
        <w:t xml:space="preserve"> have been delivered to the Registrar of Companies, whereas those for the year ended 31 December 201</w:t>
      </w:r>
      <w:r>
        <w:rPr>
          <w:rFonts w:asciiTheme="minorHAnsi" w:hAnsiTheme="minorHAnsi" w:cs="Arial"/>
          <w:sz w:val="20"/>
          <w:szCs w:val="20"/>
          <w:lang w:eastAsia="en-US"/>
        </w:rPr>
        <w:t>4</w:t>
      </w:r>
      <w:r w:rsidRPr="00A36B96">
        <w:rPr>
          <w:rFonts w:asciiTheme="minorHAnsi" w:hAnsiTheme="minorHAnsi" w:cs="Arial"/>
          <w:sz w:val="20"/>
          <w:szCs w:val="20"/>
          <w:lang w:eastAsia="en-US"/>
        </w:rPr>
        <w:t xml:space="preserve"> will be delivered to the Registrar of Companies following the Company's Annual General Meeting. </w:t>
      </w:r>
    </w:p>
    <w:p w:rsidR="00A36B96" w:rsidRPr="00A36B96" w:rsidRDefault="00A36B96" w:rsidP="00A36B96">
      <w:pPr>
        <w:pStyle w:val="NormalWeb"/>
        <w:spacing w:before="0" w:beforeAutospacing="0" w:after="0" w:afterAutospacing="0"/>
        <w:jc w:val="both"/>
        <w:rPr>
          <w:rFonts w:asciiTheme="minorHAnsi" w:hAnsiTheme="minorHAnsi" w:cs="Arial"/>
          <w:sz w:val="20"/>
          <w:szCs w:val="20"/>
          <w:lang w:eastAsia="en-US"/>
        </w:rPr>
      </w:pPr>
      <w:r w:rsidRPr="00A36B96">
        <w:rPr>
          <w:rFonts w:asciiTheme="minorHAnsi" w:hAnsiTheme="minorHAnsi" w:cs="Arial"/>
          <w:sz w:val="20"/>
          <w:szCs w:val="20"/>
          <w:lang w:eastAsia="en-US"/>
        </w:rPr>
        <w:t> </w:t>
      </w:r>
    </w:p>
    <w:p w:rsidR="00A36B96" w:rsidRDefault="00A36B96" w:rsidP="00A36B96">
      <w:pPr>
        <w:pStyle w:val="NormalWeb"/>
        <w:spacing w:before="0" w:beforeAutospacing="0" w:after="0" w:afterAutospacing="0"/>
        <w:jc w:val="both"/>
        <w:rPr>
          <w:rFonts w:asciiTheme="minorHAnsi" w:hAnsiTheme="minorHAnsi" w:cs="Arial"/>
          <w:sz w:val="20"/>
          <w:szCs w:val="20"/>
          <w:lang w:eastAsia="en-US"/>
        </w:rPr>
      </w:pPr>
      <w:r w:rsidRPr="00A36B96">
        <w:rPr>
          <w:rFonts w:asciiTheme="minorHAnsi" w:hAnsiTheme="minorHAnsi" w:cs="Arial"/>
          <w:sz w:val="20"/>
          <w:szCs w:val="20"/>
          <w:lang w:eastAsia="en-US"/>
        </w:rPr>
        <w:t>The financial information is presented in sterling and all values are rounded to the nearest thousand pounds (£000) except when otherwise indicated.</w:t>
      </w:r>
    </w:p>
    <w:p w:rsidR="00A36B96" w:rsidRPr="00A36B96" w:rsidRDefault="00A36B96" w:rsidP="00A36B96">
      <w:pPr>
        <w:pStyle w:val="NormalWeb"/>
        <w:spacing w:before="0" w:beforeAutospacing="0" w:after="0" w:afterAutospacing="0"/>
        <w:jc w:val="both"/>
        <w:rPr>
          <w:rFonts w:asciiTheme="minorHAnsi" w:hAnsiTheme="minorHAnsi" w:cs="Arial"/>
          <w:sz w:val="20"/>
          <w:szCs w:val="20"/>
          <w:lang w:eastAsia="en-US"/>
        </w:rPr>
      </w:pPr>
    </w:p>
    <w:p w:rsidR="008B63DC" w:rsidRPr="007F250A" w:rsidRDefault="008B63DC" w:rsidP="00A50DD0">
      <w:pPr>
        <w:rPr>
          <w:rFonts w:asciiTheme="minorHAnsi" w:hAnsiTheme="minorHAnsi" w:cs="Arial"/>
          <w:b/>
          <w:sz w:val="20"/>
          <w:szCs w:val="20"/>
        </w:rPr>
      </w:pPr>
      <w:r w:rsidRPr="007F250A">
        <w:rPr>
          <w:rFonts w:asciiTheme="minorHAnsi" w:hAnsiTheme="minorHAnsi" w:cs="Arial"/>
          <w:b/>
          <w:sz w:val="20"/>
          <w:szCs w:val="20"/>
        </w:rPr>
        <w:t>3. EARNINGS PER SHARE</w:t>
      </w:r>
    </w:p>
    <w:p w:rsidR="008B63DC" w:rsidRPr="007F250A" w:rsidRDefault="008B63DC" w:rsidP="00A50DD0">
      <w:pPr>
        <w:rPr>
          <w:rFonts w:asciiTheme="minorHAnsi" w:hAnsiTheme="minorHAnsi" w:cs="Arial"/>
          <w:sz w:val="20"/>
          <w:szCs w:val="20"/>
        </w:rPr>
      </w:pPr>
    </w:p>
    <w:p w:rsidR="008B63DC" w:rsidRPr="007F250A" w:rsidRDefault="008B63DC" w:rsidP="00A50DD0">
      <w:pPr>
        <w:rPr>
          <w:rFonts w:asciiTheme="minorHAnsi" w:hAnsiTheme="minorHAnsi" w:cs="Arial"/>
          <w:b/>
          <w:sz w:val="20"/>
          <w:szCs w:val="20"/>
        </w:rPr>
      </w:pPr>
      <w:r w:rsidRPr="007F250A">
        <w:rPr>
          <w:rFonts w:asciiTheme="minorHAnsi" w:hAnsiTheme="minorHAnsi" w:cs="Arial"/>
          <w:b/>
          <w:sz w:val="20"/>
          <w:szCs w:val="20"/>
        </w:rPr>
        <w:t>Basic</w:t>
      </w:r>
      <w:r w:rsidRPr="007F250A">
        <w:rPr>
          <w:rFonts w:asciiTheme="minorHAnsi" w:hAnsiTheme="minorHAnsi" w:cs="Arial"/>
          <w:b/>
          <w:sz w:val="20"/>
          <w:szCs w:val="20"/>
        </w:rPr>
        <w:tab/>
      </w:r>
    </w:p>
    <w:p w:rsidR="008B63DC" w:rsidRPr="007F250A" w:rsidRDefault="008B63DC" w:rsidP="00A50DD0">
      <w:pPr>
        <w:rPr>
          <w:rFonts w:asciiTheme="minorHAnsi" w:hAnsiTheme="minorHAnsi" w:cs="Arial"/>
          <w:sz w:val="20"/>
          <w:szCs w:val="20"/>
        </w:rPr>
      </w:pPr>
      <w:r w:rsidRPr="007F250A">
        <w:rPr>
          <w:rFonts w:asciiTheme="minorHAnsi" w:hAnsiTheme="minorHAnsi" w:cs="Arial"/>
          <w:sz w:val="20"/>
          <w:szCs w:val="20"/>
        </w:rPr>
        <w:tab/>
      </w:r>
      <w:r w:rsidRPr="007F250A">
        <w:rPr>
          <w:rFonts w:asciiTheme="minorHAnsi" w:hAnsiTheme="minorHAnsi" w:cs="Arial"/>
          <w:sz w:val="20"/>
          <w:szCs w:val="20"/>
        </w:rPr>
        <w:tab/>
      </w:r>
      <w:r w:rsidRPr="007F250A">
        <w:rPr>
          <w:rFonts w:asciiTheme="minorHAnsi" w:hAnsiTheme="minorHAnsi" w:cs="Arial"/>
          <w:sz w:val="20"/>
          <w:szCs w:val="20"/>
        </w:rPr>
        <w:tab/>
      </w:r>
      <w:r w:rsidRPr="007F250A">
        <w:rPr>
          <w:rFonts w:asciiTheme="minorHAnsi" w:hAnsiTheme="minorHAnsi" w:cs="Arial"/>
          <w:sz w:val="20"/>
          <w:szCs w:val="20"/>
        </w:rPr>
        <w:tab/>
      </w:r>
      <w:r w:rsidRPr="007F250A">
        <w:rPr>
          <w:rFonts w:asciiTheme="minorHAnsi" w:hAnsiTheme="minorHAnsi" w:cs="Arial"/>
          <w:sz w:val="20"/>
          <w:szCs w:val="20"/>
        </w:rPr>
        <w:tab/>
      </w:r>
      <w:r w:rsidRPr="007F250A">
        <w:rPr>
          <w:rFonts w:asciiTheme="minorHAnsi" w:hAnsiTheme="minorHAnsi" w:cs="Arial"/>
          <w:sz w:val="20"/>
          <w:szCs w:val="20"/>
        </w:rPr>
        <w:tab/>
      </w:r>
      <w:r w:rsidRPr="007F250A">
        <w:rPr>
          <w:rFonts w:asciiTheme="minorHAnsi" w:hAnsiTheme="minorHAnsi" w:cs="Arial"/>
          <w:sz w:val="20"/>
          <w:szCs w:val="20"/>
        </w:rPr>
        <w:tab/>
      </w:r>
    </w:p>
    <w:p w:rsidR="008B63DC" w:rsidRPr="007F250A" w:rsidRDefault="008B63DC" w:rsidP="00A50DD0">
      <w:pPr>
        <w:jc w:val="left"/>
        <w:rPr>
          <w:rFonts w:asciiTheme="minorHAnsi" w:hAnsiTheme="minorHAnsi" w:cs="Arial"/>
          <w:sz w:val="20"/>
          <w:szCs w:val="20"/>
        </w:rPr>
      </w:pPr>
      <w:r w:rsidRPr="007F250A">
        <w:rPr>
          <w:rFonts w:asciiTheme="minorHAnsi" w:hAnsiTheme="minorHAnsi" w:cs="Arial"/>
          <w:sz w:val="20"/>
          <w:szCs w:val="20"/>
        </w:rPr>
        <w:t xml:space="preserve">The calculation of earnings per share </w:t>
      </w:r>
      <w:r w:rsidR="000825E9" w:rsidRPr="007F250A">
        <w:rPr>
          <w:rFonts w:asciiTheme="minorHAnsi" w:hAnsiTheme="minorHAnsi" w:cs="Arial"/>
          <w:sz w:val="20"/>
          <w:szCs w:val="20"/>
        </w:rPr>
        <w:t>from continuing operations</w:t>
      </w:r>
      <w:r w:rsidRPr="007F250A">
        <w:rPr>
          <w:rFonts w:asciiTheme="minorHAnsi" w:hAnsiTheme="minorHAnsi" w:cs="Arial"/>
          <w:sz w:val="20"/>
          <w:szCs w:val="20"/>
        </w:rPr>
        <w:t xml:space="preserve"> based upon the profit for the year of £</w:t>
      </w:r>
      <w:r w:rsidR="00A36B96">
        <w:rPr>
          <w:rFonts w:asciiTheme="minorHAnsi" w:hAnsiTheme="minorHAnsi" w:cs="Arial"/>
          <w:sz w:val="20"/>
          <w:szCs w:val="20"/>
        </w:rPr>
        <w:t>2,201</w:t>
      </w:r>
      <w:r w:rsidRPr="007F250A">
        <w:rPr>
          <w:rFonts w:asciiTheme="minorHAnsi" w:hAnsiTheme="minorHAnsi" w:cs="Arial"/>
          <w:sz w:val="20"/>
          <w:szCs w:val="20"/>
        </w:rPr>
        <w:t>,000 (201</w:t>
      </w:r>
      <w:r w:rsidR="00A36B96">
        <w:rPr>
          <w:rFonts w:asciiTheme="minorHAnsi" w:hAnsiTheme="minorHAnsi" w:cs="Arial"/>
          <w:sz w:val="20"/>
          <w:szCs w:val="20"/>
        </w:rPr>
        <w:t>3</w:t>
      </w:r>
      <w:r w:rsidRPr="007F250A">
        <w:rPr>
          <w:rFonts w:asciiTheme="minorHAnsi" w:hAnsiTheme="minorHAnsi" w:cs="Arial"/>
          <w:sz w:val="20"/>
          <w:szCs w:val="20"/>
        </w:rPr>
        <w:t xml:space="preserve">: </w:t>
      </w:r>
      <w:r w:rsidR="00A36B96">
        <w:rPr>
          <w:rFonts w:asciiTheme="minorHAnsi" w:hAnsiTheme="minorHAnsi" w:cs="Arial"/>
          <w:sz w:val="20"/>
          <w:szCs w:val="20"/>
        </w:rPr>
        <w:t>£105</w:t>
      </w:r>
      <w:r w:rsidRPr="007F250A">
        <w:rPr>
          <w:rFonts w:asciiTheme="minorHAnsi" w:hAnsiTheme="minorHAnsi" w:cs="Arial"/>
          <w:sz w:val="20"/>
          <w:szCs w:val="20"/>
        </w:rPr>
        <w:t xml:space="preserve">,000) and </w:t>
      </w:r>
      <w:r w:rsidR="00A36B96">
        <w:rPr>
          <w:rFonts w:asciiTheme="minorHAnsi" w:hAnsiTheme="minorHAnsi" w:cs="Arial"/>
          <w:sz w:val="20"/>
          <w:szCs w:val="20"/>
        </w:rPr>
        <w:t xml:space="preserve">80,861,273 </w:t>
      </w:r>
      <w:r w:rsidRPr="007F250A">
        <w:rPr>
          <w:rFonts w:asciiTheme="minorHAnsi" w:hAnsiTheme="minorHAnsi" w:cs="Arial"/>
          <w:sz w:val="20"/>
          <w:szCs w:val="20"/>
        </w:rPr>
        <w:t>(201</w:t>
      </w:r>
      <w:r w:rsidR="00A36B96">
        <w:rPr>
          <w:rFonts w:asciiTheme="minorHAnsi" w:hAnsiTheme="minorHAnsi" w:cs="Arial"/>
          <w:sz w:val="20"/>
          <w:szCs w:val="20"/>
        </w:rPr>
        <w:t>3</w:t>
      </w:r>
      <w:r w:rsidRPr="007F250A">
        <w:rPr>
          <w:rFonts w:asciiTheme="minorHAnsi" w:hAnsiTheme="minorHAnsi" w:cs="Arial"/>
          <w:sz w:val="20"/>
          <w:szCs w:val="20"/>
        </w:rPr>
        <w:t xml:space="preserve">: </w:t>
      </w:r>
      <w:r w:rsidR="000825E9" w:rsidRPr="007F250A">
        <w:rPr>
          <w:rFonts w:asciiTheme="minorHAnsi" w:hAnsiTheme="minorHAnsi" w:cs="Arial"/>
          <w:sz w:val="20"/>
          <w:szCs w:val="20"/>
        </w:rPr>
        <w:t>5</w:t>
      </w:r>
      <w:r w:rsidR="00A36B96">
        <w:rPr>
          <w:rFonts w:asciiTheme="minorHAnsi" w:hAnsiTheme="minorHAnsi" w:cs="Arial"/>
          <w:sz w:val="20"/>
          <w:szCs w:val="20"/>
        </w:rPr>
        <w:t>9</w:t>
      </w:r>
      <w:r w:rsidR="000825E9" w:rsidRPr="007F250A">
        <w:rPr>
          <w:rFonts w:asciiTheme="minorHAnsi" w:hAnsiTheme="minorHAnsi" w:cs="Arial"/>
          <w:sz w:val="20"/>
          <w:szCs w:val="20"/>
        </w:rPr>
        <w:t>,</w:t>
      </w:r>
      <w:r w:rsidR="00A36B96">
        <w:rPr>
          <w:rFonts w:asciiTheme="minorHAnsi" w:hAnsiTheme="minorHAnsi" w:cs="Arial"/>
          <w:sz w:val="20"/>
          <w:szCs w:val="20"/>
        </w:rPr>
        <w:t>098</w:t>
      </w:r>
      <w:r w:rsidR="000825E9" w:rsidRPr="007F250A">
        <w:rPr>
          <w:rFonts w:asciiTheme="minorHAnsi" w:hAnsiTheme="minorHAnsi" w:cs="Arial"/>
          <w:sz w:val="20"/>
          <w:szCs w:val="20"/>
        </w:rPr>
        <w:t>,</w:t>
      </w:r>
      <w:r w:rsidR="00A36B96">
        <w:rPr>
          <w:rFonts w:asciiTheme="minorHAnsi" w:hAnsiTheme="minorHAnsi" w:cs="Arial"/>
          <w:sz w:val="20"/>
          <w:szCs w:val="20"/>
        </w:rPr>
        <w:t>895</w:t>
      </w:r>
      <w:r w:rsidRPr="007F250A">
        <w:rPr>
          <w:rFonts w:asciiTheme="minorHAnsi" w:hAnsiTheme="minorHAnsi" w:cs="Arial"/>
          <w:sz w:val="20"/>
          <w:szCs w:val="20"/>
        </w:rPr>
        <w:t>) weighted average number of ordinary shares.</w:t>
      </w:r>
    </w:p>
    <w:p w:rsidR="008B63DC" w:rsidRPr="007F250A" w:rsidRDefault="008B63DC" w:rsidP="00A50DD0">
      <w:pPr>
        <w:jc w:val="left"/>
        <w:rPr>
          <w:rFonts w:asciiTheme="minorHAnsi" w:hAnsiTheme="minorHAnsi" w:cs="Arial"/>
          <w:sz w:val="20"/>
          <w:szCs w:val="20"/>
        </w:rPr>
      </w:pPr>
    </w:p>
    <w:p w:rsidR="008B63DC" w:rsidRPr="007F250A" w:rsidRDefault="008B63DC" w:rsidP="00A50DD0">
      <w:pPr>
        <w:jc w:val="left"/>
        <w:rPr>
          <w:rFonts w:asciiTheme="minorHAnsi" w:hAnsiTheme="minorHAnsi" w:cs="Arial"/>
          <w:sz w:val="20"/>
          <w:szCs w:val="20"/>
        </w:rPr>
      </w:pPr>
      <w:r w:rsidRPr="007F250A">
        <w:rPr>
          <w:rFonts w:asciiTheme="minorHAnsi" w:hAnsiTheme="minorHAnsi" w:cs="Arial"/>
          <w:b/>
          <w:sz w:val="20"/>
          <w:szCs w:val="20"/>
        </w:rPr>
        <w:t>Diluted</w:t>
      </w:r>
      <w:r w:rsidRPr="007F250A">
        <w:rPr>
          <w:rFonts w:asciiTheme="minorHAnsi" w:hAnsiTheme="minorHAnsi" w:cs="Arial"/>
          <w:b/>
          <w:sz w:val="20"/>
          <w:szCs w:val="20"/>
        </w:rPr>
        <w:tab/>
      </w:r>
      <w:r w:rsidRPr="007F250A">
        <w:rPr>
          <w:rFonts w:asciiTheme="minorHAnsi" w:hAnsiTheme="minorHAnsi" w:cs="Arial"/>
          <w:sz w:val="20"/>
          <w:szCs w:val="20"/>
        </w:rPr>
        <w:tab/>
      </w:r>
    </w:p>
    <w:p w:rsidR="008B63DC" w:rsidRPr="007F250A" w:rsidRDefault="008B63DC" w:rsidP="00A50DD0">
      <w:pPr>
        <w:jc w:val="left"/>
        <w:rPr>
          <w:rFonts w:asciiTheme="minorHAnsi" w:hAnsiTheme="minorHAnsi" w:cs="Arial"/>
          <w:sz w:val="20"/>
          <w:szCs w:val="20"/>
        </w:rPr>
      </w:pPr>
    </w:p>
    <w:p w:rsidR="00A36B96" w:rsidRPr="007F250A" w:rsidRDefault="00A36B96" w:rsidP="00A36B96">
      <w:pPr>
        <w:jc w:val="left"/>
        <w:rPr>
          <w:rFonts w:asciiTheme="minorHAnsi" w:hAnsiTheme="minorHAnsi" w:cs="Arial"/>
          <w:sz w:val="20"/>
          <w:szCs w:val="20"/>
        </w:rPr>
      </w:pPr>
      <w:r w:rsidRPr="007F250A">
        <w:rPr>
          <w:rFonts w:asciiTheme="minorHAnsi" w:hAnsiTheme="minorHAnsi" w:cs="Arial"/>
          <w:sz w:val="20"/>
          <w:szCs w:val="20"/>
        </w:rPr>
        <w:t xml:space="preserve">The calculation of </w:t>
      </w:r>
      <w:r>
        <w:rPr>
          <w:rFonts w:asciiTheme="minorHAnsi" w:hAnsiTheme="minorHAnsi" w:cs="Arial"/>
          <w:sz w:val="20"/>
          <w:szCs w:val="20"/>
        </w:rPr>
        <w:t xml:space="preserve">diluted </w:t>
      </w:r>
      <w:r w:rsidRPr="007F250A">
        <w:rPr>
          <w:rFonts w:asciiTheme="minorHAnsi" w:hAnsiTheme="minorHAnsi" w:cs="Arial"/>
          <w:sz w:val="20"/>
          <w:szCs w:val="20"/>
        </w:rPr>
        <w:t>earnings per share from continuing operations based upon the profit for the year of £</w:t>
      </w:r>
      <w:r>
        <w:rPr>
          <w:rFonts w:asciiTheme="minorHAnsi" w:hAnsiTheme="minorHAnsi" w:cs="Arial"/>
          <w:sz w:val="20"/>
          <w:szCs w:val="20"/>
        </w:rPr>
        <w:t>2,201</w:t>
      </w:r>
      <w:r w:rsidRPr="007F250A">
        <w:rPr>
          <w:rFonts w:asciiTheme="minorHAnsi" w:hAnsiTheme="minorHAnsi" w:cs="Arial"/>
          <w:sz w:val="20"/>
          <w:szCs w:val="20"/>
        </w:rPr>
        <w:t>,000 (201</w:t>
      </w:r>
      <w:r>
        <w:rPr>
          <w:rFonts w:asciiTheme="minorHAnsi" w:hAnsiTheme="minorHAnsi" w:cs="Arial"/>
          <w:sz w:val="20"/>
          <w:szCs w:val="20"/>
        </w:rPr>
        <w:t>3</w:t>
      </w:r>
      <w:r w:rsidRPr="007F250A">
        <w:rPr>
          <w:rFonts w:asciiTheme="minorHAnsi" w:hAnsiTheme="minorHAnsi" w:cs="Arial"/>
          <w:sz w:val="20"/>
          <w:szCs w:val="20"/>
        </w:rPr>
        <w:t xml:space="preserve">: </w:t>
      </w:r>
      <w:r>
        <w:rPr>
          <w:rFonts w:asciiTheme="minorHAnsi" w:hAnsiTheme="minorHAnsi" w:cs="Arial"/>
          <w:sz w:val="20"/>
          <w:szCs w:val="20"/>
        </w:rPr>
        <w:t>£105</w:t>
      </w:r>
      <w:r w:rsidRPr="007F250A">
        <w:rPr>
          <w:rFonts w:asciiTheme="minorHAnsi" w:hAnsiTheme="minorHAnsi" w:cs="Arial"/>
          <w:sz w:val="20"/>
          <w:szCs w:val="20"/>
        </w:rPr>
        <w:t xml:space="preserve">,000) and </w:t>
      </w:r>
      <w:r>
        <w:rPr>
          <w:rFonts w:asciiTheme="minorHAnsi" w:hAnsiTheme="minorHAnsi" w:cs="Arial"/>
          <w:sz w:val="20"/>
          <w:szCs w:val="20"/>
        </w:rPr>
        <w:t xml:space="preserve">81,053,889  </w:t>
      </w:r>
      <w:r w:rsidRPr="007F250A">
        <w:rPr>
          <w:rFonts w:asciiTheme="minorHAnsi" w:hAnsiTheme="minorHAnsi" w:cs="Arial"/>
          <w:sz w:val="20"/>
          <w:szCs w:val="20"/>
        </w:rPr>
        <w:t>(201</w:t>
      </w:r>
      <w:r>
        <w:rPr>
          <w:rFonts w:asciiTheme="minorHAnsi" w:hAnsiTheme="minorHAnsi" w:cs="Arial"/>
          <w:sz w:val="20"/>
          <w:szCs w:val="20"/>
        </w:rPr>
        <w:t>3</w:t>
      </w:r>
      <w:r w:rsidRPr="007F250A">
        <w:rPr>
          <w:rFonts w:asciiTheme="minorHAnsi" w:hAnsiTheme="minorHAnsi" w:cs="Arial"/>
          <w:sz w:val="20"/>
          <w:szCs w:val="20"/>
        </w:rPr>
        <w:t xml:space="preserve">: </w:t>
      </w:r>
      <w:r>
        <w:rPr>
          <w:rFonts w:asciiTheme="minorHAnsi" w:hAnsiTheme="minorHAnsi" w:cs="Arial"/>
          <w:sz w:val="20"/>
          <w:szCs w:val="20"/>
        </w:rPr>
        <w:t>59,4583,396</w:t>
      </w:r>
      <w:r w:rsidRPr="007F250A">
        <w:rPr>
          <w:rFonts w:asciiTheme="minorHAnsi" w:hAnsiTheme="minorHAnsi" w:cs="Arial"/>
          <w:sz w:val="20"/>
          <w:szCs w:val="20"/>
        </w:rPr>
        <w:t>) weighted average number of ordinary shares.</w:t>
      </w:r>
    </w:p>
    <w:p w:rsidR="008B63DC" w:rsidRPr="007F250A" w:rsidRDefault="008B63DC" w:rsidP="00A50DD0">
      <w:pPr>
        <w:jc w:val="left"/>
        <w:rPr>
          <w:rFonts w:asciiTheme="minorHAnsi" w:hAnsiTheme="minorHAnsi" w:cs="Arial"/>
          <w:sz w:val="20"/>
          <w:szCs w:val="20"/>
        </w:rPr>
      </w:pPr>
      <w:r w:rsidRPr="007F250A">
        <w:rPr>
          <w:rFonts w:asciiTheme="minorHAnsi" w:hAnsiTheme="minorHAnsi" w:cs="Arial"/>
          <w:sz w:val="20"/>
          <w:szCs w:val="20"/>
        </w:rPr>
        <w:tab/>
      </w:r>
      <w:r w:rsidRPr="007F250A">
        <w:rPr>
          <w:rFonts w:asciiTheme="minorHAnsi" w:hAnsiTheme="minorHAnsi" w:cs="Arial"/>
          <w:sz w:val="20"/>
          <w:szCs w:val="20"/>
        </w:rPr>
        <w:tab/>
      </w:r>
      <w:r w:rsidRPr="007F250A">
        <w:rPr>
          <w:rFonts w:asciiTheme="minorHAnsi" w:hAnsiTheme="minorHAnsi" w:cs="Arial"/>
          <w:sz w:val="20"/>
          <w:szCs w:val="20"/>
        </w:rPr>
        <w:tab/>
      </w:r>
    </w:p>
    <w:p w:rsidR="008B63DC" w:rsidRPr="007F250A" w:rsidRDefault="008B63DC" w:rsidP="00A50DD0">
      <w:pPr>
        <w:pStyle w:val="NormalWeb"/>
        <w:spacing w:before="0" w:beforeAutospacing="0" w:after="0" w:afterAutospacing="0"/>
        <w:jc w:val="both"/>
        <w:rPr>
          <w:rFonts w:asciiTheme="minorHAnsi" w:hAnsiTheme="minorHAnsi" w:cs="Arial"/>
          <w:b/>
          <w:sz w:val="20"/>
          <w:szCs w:val="20"/>
        </w:rPr>
      </w:pPr>
      <w:r w:rsidRPr="007F250A">
        <w:rPr>
          <w:rFonts w:asciiTheme="minorHAnsi" w:hAnsiTheme="minorHAnsi" w:cs="Arial"/>
          <w:b/>
          <w:sz w:val="20"/>
          <w:szCs w:val="20"/>
        </w:rPr>
        <w:t xml:space="preserve">4.  REPORT &amp; ACCOUNTS  </w:t>
      </w:r>
    </w:p>
    <w:p w:rsidR="008B63DC" w:rsidRPr="007F250A" w:rsidRDefault="008B63DC" w:rsidP="00A50DD0">
      <w:pPr>
        <w:pStyle w:val="NormalWeb"/>
        <w:spacing w:before="0" w:beforeAutospacing="0" w:after="0" w:afterAutospacing="0"/>
        <w:jc w:val="both"/>
        <w:rPr>
          <w:rFonts w:asciiTheme="minorHAnsi" w:hAnsiTheme="minorHAnsi" w:cs="Arial"/>
          <w:b/>
          <w:sz w:val="20"/>
          <w:szCs w:val="20"/>
        </w:rPr>
      </w:pPr>
    </w:p>
    <w:p w:rsidR="008B63DC" w:rsidRPr="00DE2AC3" w:rsidRDefault="008B63DC" w:rsidP="00A50DD0">
      <w:pPr>
        <w:jc w:val="left"/>
        <w:rPr>
          <w:rFonts w:asciiTheme="minorHAnsi" w:hAnsiTheme="minorHAnsi" w:cs="Arial"/>
          <w:sz w:val="20"/>
          <w:szCs w:val="20"/>
        </w:rPr>
      </w:pPr>
      <w:r w:rsidRPr="007F250A">
        <w:rPr>
          <w:rFonts w:asciiTheme="minorHAnsi" w:hAnsiTheme="minorHAnsi" w:cs="Arial"/>
          <w:sz w:val="20"/>
          <w:szCs w:val="20"/>
        </w:rPr>
        <w:t xml:space="preserve">Copies of this announcement are available and the Annual Report will be available in due course on the Group's website www.mbhplc.co.uk and from the Company's registered office at </w:t>
      </w:r>
      <w:proofErr w:type="spellStart"/>
      <w:r w:rsidRPr="007F250A">
        <w:rPr>
          <w:rFonts w:asciiTheme="minorHAnsi" w:hAnsiTheme="minorHAnsi" w:cs="Arial"/>
          <w:sz w:val="20"/>
          <w:szCs w:val="20"/>
        </w:rPr>
        <w:t>Freshfield</w:t>
      </w:r>
      <w:proofErr w:type="spellEnd"/>
      <w:r w:rsidRPr="007F250A">
        <w:rPr>
          <w:rFonts w:asciiTheme="minorHAnsi" w:hAnsiTheme="minorHAnsi" w:cs="Arial"/>
          <w:sz w:val="20"/>
          <w:szCs w:val="20"/>
        </w:rPr>
        <w:t xml:space="preserve"> Lane, </w:t>
      </w:r>
      <w:proofErr w:type="spellStart"/>
      <w:r w:rsidRPr="007F250A">
        <w:rPr>
          <w:rFonts w:asciiTheme="minorHAnsi" w:hAnsiTheme="minorHAnsi" w:cs="Arial"/>
          <w:sz w:val="20"/>
          <w:szCs w:val="20"/>
        </w:rPr>
        <w:t>Danehill</w:t>
      </w:r>
      <w:proofErr w:type="spellEnd"/>
      <w:r w:rsidRPr="007F250A">
        <w:rPr>
          <w:rFonts w:asciiTheme="minorHAnsi" w:hAnsiTheme="minorHAnsi" w:cs="Arial"/>
          <w:sz w:val="20"/>
          <w:szCs w:val="20"/>
        </w:rPr>
        <w:t xml:space="preserve">, </w:t>
      </w:r>
      <w:proofErr w:type="spellStart"/>
      <w:r w:rsidRPr="007F250A">
        <w:rPr>
          <w:rFonts w:asciiTheme="minorHAnsi" w:hAnsiTheme="minorHAnsi" w:cs="Arial"/>
          <w:sz w:val="20"/>
          <w:szCs w:val="20"/>
        </w:rPr>
        <w:t>Haywards</w:t>
      </w:r>
      <w:proofErr w:type="spellEnd"/>
      <w:r w:rsidRPr="007F250A">
        <w:rPr>
          <w:rFonts w:asciiTheme="minorHAnsi" w:hAnsiTheme="minorHAnsi" w:cs="Arial"/>
          <w:sz w:val="20"/>
          <w:szCs w:val="20"/>
        </w:rPr>
        <w:t xml:space="preserve"> Heath, West Sussex RH17 7HH.</w:t>
      </w:r>
    </w:p>
    <w:p w:rsidR="008B63DC" w:rsidRPr="00DE2AC3" w:rsidRDefault="008B63DC" w:rsidP="00A50DD0">
      <w:pPr>
        <w:rPr>
          <w:rFonts w:asciiTheme="minorHAnsi" w:hAnsiTheme="minorHAnsi" w:cs="Arial"/>
          <w:sz w:val="20"/>
          <w:szCs w:val="20"/>
        </w:rPr>
      </w:pPr>
    </w:p>
    <w:p w:rsidR="008B63DC" w:rsidRPr="00DE2AC3" w:rsidRDefault="008B63DC" w:rsidP="00A50DD0">
      <w:pPr>
        <w:rPr>
          <w:rFonts w:asciiTheme="minorHAnsi" w:hAnsiTheme="minorHAnsi" w:cs="Arial"/>
          <w:color w:val="000000"/>
          <w:sz w:val="20"/>
          <w:szCs w:val="20"/>
        </w:rPr>
      </w:pPr>
    </w:p>
    <w:sectPr w:rsidR="008B63DC" w:rsidRPr="00DE2AC3" w:rsidSect="001A2D21">
      <w:pgSz w:w="11906" w:h="16838"/>
      <w:pgMar w:top="851" w:right="1080" w:bottom="993"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546C"/>
    <w:multiLevelType w:val="hybridMultilevel"/>
    <w:tmpl w:val="0FFA6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01F1A7E"/>
    <w:multiLevelType w:val="hybridMultilevel"/>
    <w:tmpl w:val="EFD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B7AB8"/>
    <w:multiLevelType w:val="hybridMultilevel"/>
    <w:tmpl w:val="8A0201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0D705B3"/>
    <w:multiLevelType w:val="hybridMultilevel"/>
    <w:tmpl w:val="43EAB9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C6C6F32"/>
    <w:multiLevelType w:val="hybridMultilevel"/>
    <w:tmpl w:val="65A87AB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nsid w:val="326D2A19"/>
    <w:multiLevelType w:val="hybridMultilevel"/>
    <w:tmpl w:val="BD5618F6"/>
    <w:lvl w:ilvl="0" w:tplc="D8887FE4">
      <w:start w:val="97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C17E8A"/>
    <w:multiLevelType w:val="hybridMultilevel"/>
    <w:tmpl w:val="8E086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736575F"/>
    <w:multiLevelType w:val="hybridMultilevel"/>
    <w:tmpl w:val="296688AC"/>
    <w:lvl w:ilvl="0" w:tplc="089CA320">
      <w:numFmt w:val="bullet"/>
      <w:lvlText w:val="-"/>
      <w:lvlJc w:val="left"/>
      <w:pPr>
        <w:ind w:left="760" w:hanging="360"/>
      </w:pPr>
      <w:rPr>
        <w:rFonts w:ascii="Calibri" w:eastAsiaTheme="minorEastAsia" w:hAnsi="Calibri" w:cstheme="minorBidi"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nsid w:val="373E0E6D"/>
    <w:multiLevelType w:val="hybridMultilevel"/>
    <w:tmpl w:val="0FBCF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C0392C"/>
    <w:multiLevelType w:val="hybridMultilevel"/>
    <w:tmpl w:val="19D2E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FFE3638"/>
    <w:multiLevelType w:val="hybridMultilevel"/>
    <w:tmpl w:val="6E8EA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1EB40DC"/>
    <w:multiLevelType w:val="hybridMultilevel"/>
    <w:tmpl w:val="DB82BA0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nsid w:val="62214DA0"/>
    <w:multiLevelType w:val="hybridMultilevel"/>
    <w:tmpl w:val="8AC65A1C"/>
    <w:lvl w:ilvl="0" w:tplc="63D0AA86">
      <w:start w:val="1"/>
      <w:numFmt w:val="bullet"/>
      <w:lvlText w:val=""/>
      <w:lvlJc w:val="left"/>
      <w:pPr>
        <w:tabs>
          <w:tab w:val="num" w:pos="720"/>
        </w:tabs>
        <w:ind w:left="720" w:hanging="360"/>
      </w:pPr>
      <w:rPr>
        <w:rFonts w:ascii="Wingdings" w:hAnsi="Wingdings" w:hint="default"/>
      </w:rPr>
    </w:lvl>
    <w:lvl w:ilvl="1" w:tplc="6AF019FC">
      <w:start w:val="1033"/>
      <w:numFmt w:val="bullet"/>
      <w:lvlText w:val=""/>
      <w:lvlJc w:val="left"/>
      <w:pPr>
        <w:tabs>
          <w:tab w:val="num" w:pos="1440"/>
        </w:tabs>
        <w:ind w:left="1440" w:hanging="360"/>
      </w:pPr>
      <w:rPr>
        <w:rFonts w:ascii="Wingdings" w:hAnsi="Wingdings" w:hint="default"/>
      </w:rPr>
    </w:lvl>
    <w:lvl w:ilvl="2" w:tplc="36523EAC">
      <w:start w:val="1"/>
      <w:numFmt w:val="bullet"/>
      <w:lvlText w:val=""/>
      <w:lvlJc w:val="left"/>
      <w:pPr>
        <w:tabs>
          <w:tab w:val="num" w:pos="2160"/>
        </w:tabs>
        <w:ind w:left="2160" w:hanging="360"/>
      </w:pPr>
      <w:rPr>
        <w:rFonts w:ascii="Wingdings" w:hAnsi="Wingdings" w:hint="default"/>
      </w:rPr>
    </w:lvl>
    <w:lvl w:ilvl="3" w:tplc="D0EC6CA8">
      <w:start w:val="1"/>
      <w:numFmt w:val="bullet"/>
      <w:lvlText w:val=""/>
      <w:lvlJc w:val="left"/>
      <w:pPr>
        <w:tabs>
          <w:tab w:val="num" w:pos="2880"/>
        </w:tabs>
        <w:ind w:left="2880" w:hanging="360"/>
      </w:pPr>
      <w:rPr>
        <w:rFonts w:ascii="Wingdings" w:hAnsi="Wingdings" w:hint="default"/>
      </w:rPr>
    </w:lvl>
    <w:lvl w:ilvl="4" w:tplc="E5AED26A">
      <w:start w:val="1"/>
      <w:numFmt w:val="bullet"/>
      <w:lvlText w:val=""/>
      <w:lvlJc w:val="left"/>
      <w:pPr>
        <w:tabs>
          <w:tab w:val="num" w:pos="3600"/>
        </w:tabs>
        <w:ind w:left="3600" w:hanging="360"/>
      </w:pPr>
      <w:rPr>
        <w:rFonts w:ascii="Wingdings" w:hAnsi="Wingdings" w:hint="default"/>
      </w:rPr>
    </w:lvl>
    <w:lvl w:ilvl="5" w:tplc="BA4EE8E2">
      <w:start w:val="1"/>
      <w:numFmt w:val="bullet"/>
      <w:lvlText w:val=""/>
      <w:lvlJc w:val="left"/>
      <w:pPr>
        <w:tabs>
          <w:tab w:val="num" w:pos="4320"/>
        </w:tabs>
        <w:ind w:left="4320" w:hanging="360"/>
      </w:pPr>
      <w:rPr>
        <w:rFonts w:ascii="Wingdings" w:hAnsi="Wingdings" w:hint="default"/>
      </w:rPr>
    </w:lvl>
    <w:lvl w:ilvl="6" w:tplc="E5347772">
      <w:start w:val="1"/>
      <w:numFmt w:val="bullet"/>
      <w:lvlText w:val=""/>
      <w:lvlJc w:val="left"/>
      <w:pPr>
        <w:tabs>
          <w:tab w:val="num" w:pos="5040"/>
        </w:tabs>
        <w:ind w:left="5040" w:hanging="360"/>
      </w:pPr>
      <w:rPr>
        <w:rFonts w:ascii="Wingdings" w:hAnsi="Wingdings" w:hint="default"/>
      </w:rPr>
    </w:lvl>
    <w:lvl w:ilvl="7" w:tplc="BFCEE92A">
      <w:start w:val="1"/>
      <w:numFmt w:val="bullet"/>
      <w:lvlText w:val=""/>
      <w:lvlJc w:val="left"/>
      <w:pPr>
        <w:tabs>
          <w:tab w:val="num" w:pos="5760"/>
        </w:tabs>
        <w:ind w:left="5760" w:hanging="360"/>
      </w:pPr>
      <w:rPr>
        <w:rFonts w:ascii="Wingdings" w:hAnsi="Wingdings" w:hint="default"/>
      </w:rPr>
    </w:lvl>
    <w:lvl w:ilvl="8" w:tplc="7A220098">
      <w:start w:val="1"/>
      <w:numFmt w:val="bullet"/>
      <w:lvlText w:val=""/>
      <w:lvlJc w:val="left"/>
      <w:pPr>
        <w:tabs>
          <w:tab w:val="num" w:pos="6480"/>
        </w:tabs>
        <w:ind w:left="6480" w:hanging="360"/>
      </w:pPr>
      <w:rPr>
        <w:rFonts w:ascii="Wingdings" w:hAnsi="Wingdings" w:hint="default"/>
      </w:rPr>
    </w:lvl>
  </w:abstractNum>
  <w:abstractNum w:abstractNumId="13">
    <w:nsid w:val="62592FC4"/>
    <w:multiLevelType w:val="hybridMultilevel"/>
    <w:tmpl w:val="6B2007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661167AC"/>
    <w:multiLevelType w:val="hybridMultilevel"/>
    <w:tmpl w:val="E0B28F54"/>
    <w:lvl w:ilvl="0" w:tplc="089CA3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DD1E1C"/>
    <w:multiLevelType w:val="hybridMultilevel"/>
    <w:tmpl w:val="85EC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062F9A"/>
    <w:multiLevelType w:val="hybridMultilevel"/>
    <w:tmpl w:val="FE06CF66"/>
    <w:lvl w:ilvl="0" w:tplc="7EFC0D70">
      <w:start w:val="97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A4707F"/>
    <w:multiLevelType w:val="hybridMultilevel"/>
    <w:tmpl w:val="18A61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3"/>
  </w:num>
  <w:num w:numId="4">
    <w:abstractNumId w:val="11"/>
  </w:num>
  <w:num w:numId="5">
    <w:abstractNumId w:val="10"/>
  </w:num>
  <w:num w:numId="6">
    <w:abstractNumId w:val="9"/>
  </w:num>
  <w:num w:numId="7">
    <w:abstractNumId w:val="2"/>
  </w:num>
  <w:num w:numId="8">
    <w:abstractNumId w:val="12"/>
  </w:num>
  <w:num w:numId="9">
    <w:abstractNumId w:val="6"/>
  </w:num>
  <w:num w:numId="10">
    <w:abstractNumId w:val="0"/>
  </w:num>
  <w:num w:numId="11">
    <w:abstractNumId w:val="8"/>
  </w:num>
  <w:num w:numId="12">
    <w:abstractNumId w:val="4"/>
  </w:num>
  <w:num w:numId="13">
    <w:abstractNumId w:val="14"/>
  </w:num>
  <w:num w:numId="14">
    <w:abstractNumId w:val="7"/>
  </w:num>
  <w:num w:numId="15">
    <w:abstractNumId w:val="16"/>
  </w:num>
  <w:num w:numId="16">
    <w:abstractNumId w:val="5"/>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152"/>
    <w:rsid w:val="000134E3"/>
    <w:rsid w:val="00013589"/>
    <w:rsid w:val="00017741"/>
    <w:rsid w:val="000272C3"/>
    <w:rsid w:val="00031891"/>
    <w:rsid w:val="00031CDA"/>
    <w:rsid w:val="00040038"/>
    <w:rsid w:val="00054F6E"/>
    <w:rsid w:val="00072710"/>
    <w:rsid w:val="00074AA5"/>
    <w:rsid w:val="000756BA"/>
    <w:rsid w:val="000825E9"/>
    <w:rsid w:val="0009529B"/>
    <w:rsid w:val="000B5D5D"/>
    <w:rsid w:val="000D31A4"/>
    <w:rsid w:val="000E1AB7"/>
    <w:rsid w:val="000F5B1B"/>
    <w:rsid w:val="000F7A8D"/>
    <w:rsid w:val="001027F9"/>
    <w:rsid w:val="00107359"/>
    <w:rsid w:val="0011641F"/>
    <w:rsid w:val="001428DD"/>
    <w:rsid w:val="00164CB4"/>
    <w:rsid w:val="0016674D"/>
    <w:rsid w:val="0017167F"/>
    <w:rsid w:val="001718B7"/>
    <w:rsid w:val="00182BE0"/>
    <w:rsid w:val="001844CC"/>
    <w:rsid w:val="0019006E"/>
    <w:rsid w:val="001958C9"/>
    <w:rsid w:val="001966AA"/>
    <w:rsid w:val="001966BD"/>
    <w:rsid w:val="001A2D21"/>
    <w:rsid w:val="001B5330"/>
    <w:rsid w:val="001C2C96"/>
    <w:rsid w:val="001D2C2E"/>
    <w:rsid w:val="001D625C"/>
    <w:rsid w:val="001E084A"/>
    <w:rsid w:val="001F3A9E"/>
    <w:rsid w:val="001F5EAB"/>
    <w:rsid w:val="001F6024"/>
    <w:rsid w:val="00202152"/>
    <w:rsid w:val="00211A11"/>
    <w:rsid w:val="00217944"/>
    <w:rsid w:val="00243ECA"/>
    <w:rsid w:val="0024469B"/>
    <w:rsid w:val="00251337"/>
    <w:rsid w:val="00256824"/>
    <w:rsid w:val="0027081E"/>
    <w:rsid w:val="00272831"/>
    <w:rsid w:val="00284A95"/>
    <w:rsid w:val="00292E8B"/>
    <w:rsid w:val="002B6AA7"/>
    <w:rsid w:val="002C728A"/>
    <w:rsid w:val="002D4DE2"/>
    <w:rsid w:val="002D710C"/>
    <w:rsid w:val="002E0BFE"/>
    <w:rsid w:val="002E0D9A"/>
    <w:rsid w:val="002E6AB7"/>
    <w:rsid w:val="002F02DA"/>
    <w:rsid w:val="002F4BC7"/>
    <w:rsid w:val="00301BD6"/>
    <w:rsid w:val="00301DE3"/>
    <w:rsid w:val="003478BA"/>
    <w:rsid w:val="00350EE3"/>
    <w:rsid w:val="00356C05"/>
    <w:rsid w:val="00362DAA"/>
    <w:rsid w:val="003854C4"/>
    <w:rsid w:val="00385B2B"/>
    <w:rsid w:val="00387232"/>
    <w:rsid w:val="0039141C"/>
    <w:rsid w:val="003A263C"/>
    <w:rsid w:val="003B1B2D"/>
    <w:rsid w:val="003B2A47"/>
    <w:rsid w:val="003B6584"/>
    <w:rsid w:val="003C44C3"/>
    <w:rsid w:val="003C7DDD"/>
    <w:rsid w:val="003D1046"/>
    <w:rsid w:val="003D270E"/>
    <w:rsid w:val="0040010C"/>
    <w:rsid w:val="00420D53"/>
    <w:rsid w:val="00423C65"/>
    <w:rsid w:val="004270A4"/>
    <w:rsid w:val="00442DA5"/>
    <w:rsid w:val="0045193B"/>
    <w:rsid w:val="00456C0A"/>
    <w:rsid w:val="00457775"/>
    <w:rsid w:val="004577C7"/>
    <w:rsid w:val="00460544"/>
    <w:rsid w:val="004705C7"/>
    <w:rsid w:val="00484962"/>
    <w:rsid w:val="004A00D2"/>
    <w:rsid w:val="004A22EB"/>
    <w:rsid w:val="004A2863"/>
    <w:rsid w:val="004A2C48"/>
    <w:rsid w:val="004A7448"/>
    <w:rsid w:val="004B7F7B"/>
    <w:rsid w:val="004C12B8"/>
    <w:rsid w:val="004C207C"/>
    <w:rsid w:val="004D287B"/>
    <w:rsid w:val="004E16F3"/>
    <w:rsid w:val="004F4582"/>
    <w:rsid w:val="004F59A8"/>
    <w:rsid w:val="00536DEC"/>
    <w:rsid w:val="00545AE5"/>
    <w:rsid w:val="00547D1E"/>
    <w:rsid w:val="00547DEE"/>
    <w:rsid w:val="00555DBF"/>
    <w:rsid w:val="005563FD"/>
    <w:rsid w:val="00573844"/>
    <w:rsid w:val="00575E52"/>
    <w:rsid w:val="00580A50"/>
    <w:rsid w:val="005B3A75"/>
    <w:rsid w:val="005C5C45"/>
    <w:rsid w:val="005D0C11"/>
    <w:rsid w:val="005E190D"/>
    <w:rsid w:val="005F77BD"/>
    <w:rsid w:val="006005EF"/>
    <w:rsid w:val="00605B39"/>
    <w:rsid w:val="006266F1"/>
    <w:rsid w:val="00627EB3"/>
    <w:rsid w:val="00634E00"/>
    <w:rsid w:val="00636255"/>
    <w:rsid w:val="00646EA9"/>
    <w:rsid w:val="00653B29"/>
    <w:rsid w:val="00667B82"/>
    <w:rsid w:val="006720D2"/>
    <w:rsid w:val="006760F2"/>
    <w:rsid w:val="006768C2"/>
    <w:rsid w:val="00687CCA"/>
    <w:rsid w:val="006A116D"/>
    <w:rsid w:val="006A44C0"/>
    <w:rsid w:val="006B650A"/>
    <w:rsid w:val="006D4093"/>
    <w:rsid w:val="006E06C0"/>
    <w:rsid w:val="006E1523"/>
    <w:rsid w:val="006E3A72"/>
    <w:rsid w:val="00735D66"/>
    <w:rsid w:val="00741992"/>
    <w:rsid w:val="00765C7F"/>
    <w:rsid w:val="007758A3"/>
    <w:rsid w:val="00775E70"/>
    <w:rsid w:val="00777B50"/>
    <w:rsid w:val="00780778"/>
    <w:rsid w:val="00797A90"/>
    <w:rsid w:val="007B5744"/>
    <w:rsid w:val="007C5CC2"/>
    <w:rsid w:val="007D3276"/>
    <w:rsid w:val="007E14DE"/>
    <w:rsid w:val="007E394D"/>
    <w:rsid w:val="007E3EBC"/>
    <w:rsid w:val="007F158A"/>
    <w:rsid w:val="007F250A"/>
    <w:rsid w:val="007F6C36"/>
    <w:rsid w:val="007F7CA6"/>
    <w:rsid w:val="00803517"/>
    <w:rsid w:val="00806B50"/>
    <w:rsid w:val="00817BF4"/>
    <w:rsid w:val="00821868"/>
    <w:rsid w:val="0083479F"/>
    <w:rsid w:val="008427E6"/>
    <w:rsid w:val="0084375F"/>
    <w:rsid w:val="00844F4A"/>
    <w:rsid w:val="0085082D"/>
    <w:rsid w:val="00854554"/>
    <w:rsid w:val="00854895"/>
    <w:rsid w:val="0088492D"/>
    <w:rsid w:val="00886D58"/>
    <w:rsid w:val="008A4893"/>
    <w:rsid w:val="008B0341"/>
    <w:rsid w:val="008B1B45"/>
    <w:rsid w:val="008B63DC"/>
    <w:rsid w:val="008C5770"/>
    <w:rsid w:val="008E7F44"/>
    <w:rsid w:val="008F27E6"/>
    <w:rsid w:val="008F5846"/>
    <w:rsid w:val="008F7A7C"/>
    <w:rsid w:val="009053A7"/>
    <w:rsid w:val="009334AB"/>
    <w:rsid w:val="00944D51"/>
    <w:rsid w:val="0097394B"/>
    <w:rsid w:val="00982458"/>
    <w:rsid w:val="009939D6"/>
    <w:rsid w:val="00996217"/>
    <w:rsid w:val="0099748E"/>
    <w:rsid w:val="009A76A9"/>
    <w:rsid w:val="009D14A1"/>
    <w:rsid w:val="009D1FC5"/>
    <w:rsid w:val="009E005E"/>
    <w:rsid w:val="009E10AA"/>
    <w:rsid w:val="009F2F35"/>
    <w:rsid w:val="009F4427"/>
    <w:rsid w:val="00A043A9"/>
    <w:rsid w:val="00A071B4"/>
    <w:rsid w:val="00A1087B"/>
    <w:rsid w:val="00A13609"/>
    <w:rsid w:val="00A25079"/>
    <w:rsid w:val="00A252E4"/>
    <w:rsid w:val="00A36B96"/>
    <w:rsid w:val="00A36F36"/>
    <w:rsid w:val="00A47755"/>
    <w:rsid w:val="00A50DD0"/>
    <w:rsid w:val="00A64989"/>
    <w:rsid w:val="00A75CC8"/>
    <w:rsid w:val="00A76240"/>
    <w:rsid w:val="00A927C1"/>
    <w:rsid w:val="00AB0635"/>
    <w:rsid w:val="00AB0CB7"/>
    <w:rsid w:val="00AB38A0"/>
    <w:rsid w:val="00AE05E6"/>
    <w:rsid w:val="00B00AA1"/>
    <w:rsid w:val="00B04089"/>
    <w:rsid w:val="00B11721"/>
    <w:rsid w:val="00B22D5E"/>
    <w:rsid w:val="00B40B12"/>
    <w:rsid w:val="00B456FF"/>
    <w:rsid w:val="00B708D0"/>
    <w:rsid w:val="00B73C1D"/>
    <w:rsid w:val="00B96DCB"/>
    <w:rsid w:val="00B9789F"/>
    <w:rsid w:val="00BA0452"/>
    <w:rsid w:val="00BA54BF"/>
    <w:rsid w:val="00BA552A"/>
    <w:rsid w:val="00BA7CA8"/>
    <w:rsid w:val="00BB48B5"/>
    <w:rsid w:val="00BC29E4"/>
    <w:rsid w:val="00BD5170"/>
    <w:rsid w:val="00BF0CC4"/>
    <w:rsid w:val="00BF20B7"/>
    <w:rsid w:val="00BF547F"/>
    <w:rsid w:val="00C03EA8"/>
    <w:rsid w:val="00C05264"/>
    <w:rsid w:val="00C15263"/>
    <w:rsid w:val="00C309EC"/>
    <w:rsid w:val="00C319BA"/>
    <w:rsid w:val="00C3341B"/>
    <w:rsid w:val="00C43C1F"/>
    <w:rsid w:val="00C5188B"/>
    <w:rsid w:val="00C54B1B"/>
    <w:rsid w:val="00C666B1"/>
    <w:rsid w:val="00C90F22"/>
    <w:rsid w:val="00C95D2C"/>
    <w:rsid w:val="00CA1874"/>
    <w:rsid w:val="00CA57D0"/>
    <w:rsid w:val="00CA7C18"/>
    <w:rsid w:val="00CB0831"/>
    <w:rsid w:val="00CB2B05"/>
    <w:rsid w:val="00CB34D7"/>
    <w:rsid w:val="00CC4E74"/>
    <w:rsid w:val="00D03871"/>
    <w:rsid w:val="00D068C9"/>
    <w:rsid w:val="00D1027A"/>
    <w:rsid w:val="00D127B0"/>
    <w:rsid w:val="00D22163"/>
    <w:rsid w:val="00D27218"/>
    <w:rsid w:val="00D50201"/>
    <w:rsid w:val="00D61A9A"/>
    <w:rsid w:val="00D648AC"/>
    <w:rsid w:val="00D6514A"/>
    <w:rsid w:val="00D9340C"/>
    <w:rsid w:val="00DB59E8"/>
    <w:rsid w:val="00DB5CEF"/>
    <w:rsid w:val="00DC7391"/>
    <w:rsid w:val="00DD0BFC"/>
    <w:rsid w:val="00DD20A5"/>
    <w:rsid w:val="00DD69F5"/>
    <w:rsid w:val="00DD757B"/>
    <w:rsid w:val="00DE021F"/>
    <w:rsid w:val="00DE2AC3"/>
    <w:rsid w:val="00E01732"/>
    <w:rsid w:val="00E06666"/>
    <w:rsid w:val="00E07EDE"/>
    <w:rsid w:val="00E14A1B"/>
    <w:rsid w:val="00E15851"/>
    <w:rsid w:val="00E16A38"/>
    <w:rsid w:val="00E356DC"/>
    <w:rsid w:val="00E458A1"/>
    <w:rsid w:val="00E53065"/>
    <w:rsid w:val="00E54990"/>
    <w:rsid w:val="00E75995"/>
    <w:rsid w:val="00EC729D"/>
    <w:rsid w:val="00EC7834"/>
    <w:rsid w:val="00EE1826"/>
    <w:rsid w:val="00EE312E"/>
    <w:rsid w:val="00EF0A87"/>
    <w:rsid w:val="00EF336D"/>
    <w:rsid w:val="00EF5942"/>
    <w:rsid w:val="00F308BC"/>
    <w:rsid w:val="00F7341E"/>
    <w:rsid w:val="00F81D57"/>
    <w:rsid w:val="00F82588"/>
    <w:rsid w:val="00F83DDB"/>
    <w:rsid w:val="00F87B4E"/>
    <w:rsid w:val="00FA3A01"/>
    <w:rsid w:val="00FA7197"/>
    <w:rsid w:val="00FB3700"/>
    <w:rsid w:val="00FC7389"/>
    <w:rsid w:val="00FD3F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152"/>
    <w:pPr>
      <w:jc w:val="both"/>
    </w:pPr>
    <w:rPr>
      <w:rFonts w:ascii="Times New Roman" w:hAnsi="Times New Roman"/>
      <w:sz w:val="24"/>
      <w:szCs w:val="24"/>
      <w:lang w:eastAsia="en-US"/>
    </w:rPr>
  </w:style>
  <w:style w:type="paragraph" w:styleId="Heading1">
    <w:name w:val="heading 1"/>
    <w:basedOn w:val="Normal"/>
    <w:next w:val="Normal"/>
    <w:link w:val="Heading1Char"/>
    <w:uiPriority w:val="99"/>
    <w:qFormat/>
    <w:rsid w:val="00CB2B05"/>
    <w:pPr>
      <w:keepNext/>
      <w:jc w:val="left"/>
      <w:outlineLvl w:val="0"/>
    </w:pPr>
    <w:rPr>
      <w:b/>
      <w:szCs w:val="20"/>
      <w:u w:val="single"/>
    </w:rPr>
  </w:style>
  <w:style w:type="paragraph" w:styleId="Heading2">
    <w:name w:val="heading 2"/>
    <w:basedOn w:val="Normal"/>
    <w:next w:val="Normal"/>
    <w:link w:val="Heading2Char"/>
    <w:uiPriority w:val="99"/>
    <w:qFormat/>
    <w:rsid w:val="00CB2B05"/>
    <w:pPr>
      <w:keepNext/>
      <w:outlineLvl w:val="1"/>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2B05"/>
    <w:rPr>
      <w:rFonts w:ascii="Times New Roman" w:hAnsi="Times New Roman"/>
      <w:b/>
      <w:sz w:val="24"/>
      <w:u w:val="single"/>
    </w:rPr>
  </w:style>
  <w:style w:type="character" w:customStyle="1" w:styleId="Heading2Char">
    <w:name w:val="Heading 2 Char"/>
    <w:link w:val="Heading2"/>
    <w:uiPriority w:val="99"/>
    <w:locked/>
    <w:rsid w:val="00CB2B05"/>
    <w:rPr>
      <w:rFonts w:ascii="Times New Roman" w:hAnsi="Times New Roman"/>
      <w:b/>
      <w:sz w:val="24"/>
      <w:u w:val="single"/>
    </w:rPr>
  </w:style>
  <w:style w:type="paragraph" w:styleId="Subtitle">
    <w:name w:val="Subtitle"/>
    <w:basedOn w:val="Normal"/>
    <w:link w:val="SubtitleChar"/>
    <w:uiPriority w:val="99"/>
    <w:qFormat/>
    <w:rsid w:val="00202152"/>
    <w:pPr>
      <w:spacing w:line="480" w:lineRule="auto"/>
      <w:jc w:val="left"/>
    </w:pPr>
    <w:rPr>
      <w:rFonts w:ascii="Arial" w:hAnsi="Arial"/>
      <w:b/>
      <w:szCs w:val="20"/>
      <w:u w:val="single"/>
    </w:rPr>
  </w:style>
  <w:style w:type="character" w:customStyle="1" w:styleId="SubtitleChar">
    <w:name w:val="Subtitle Char"/>
    <w:link w:val="Subtitle"/>
    <w:uiPriority w:val="99"/>
    <w:locked/>
    <w:rsid w:val="00202152"/>
    <w:rPr>
      <w:rFonts w:ascii="Arial" w:hAnsi="Arial"/>
      <w:b/>
      <w:sz w:val="24"/>
      <w:u w:val="single"/>
    </w:rPr>
  </w:style>
  <w:style w:type="paragraph" w:styleId="BalloonText">
    <w:name w:val="Balloon Text"/>
    <w:basedOn w:val="Normal"/>
    <w:link w:val="BalloonTextChar"/>
    <w:uiPriority w:val="99"/>
    <w:semiHidden/>
    <w:rsid w:val="00BF20B7"/>
    <w:rPr>
      <w:rFonts w:ascii="Tahoma" w:hAnsi="Tahoma"/>
      <w:sz w:val="16"/>
      <w:szCs w:val="20"/>
    </w:rPr>
  </w:style>
  <w:style w:type="character" w:customStyle="1" w:styleId="BalloonTextChar">
    <w:name w:val="Balloon Text Char"/>
    <w:link w:val="BalloonText"/>
    <w:uiPriority w:val="99"/>
    <w:semiHidden/>
    <w:locked/>
    <w:rsid w:val="00BF20B7"/>
    <w:rPr>
      <w:rFonts w:ascii="Tahoma" w:hAnsi="Tahoma"/>
      <w:sz w:val="16"/>
    </w:rPr>
  </w:style>
  <w:style w:type="paragraph" w:styleId="PlainText">
    <w:name w:val="Plain Text"/>
    <w:basedOn w:val="Normal"/>
    <w:link w:val="PlainTextChar"/>
    <w:uiPriority w:val="99"/>
    <w:semiHidden/>
    <w:rsid w:val="00CB2B05"/>
    <w:pPr>
      <w:jc w:val="left"/>
    </w:pPr>
    <w:rPr>
      <w:rFonts w:ascii="Consolas" w:hAnsi="Consolas"/>
      <w:sz w:val="21"/>
      <w:szCs w:val="20"/>
    </w:rPr>
  </w:style>
  <w:style w:type="character" w:customStyle="1" w:styleId="PlainTextChar">
    <w:name w:val="Plain Text Char"/>
    <w:link w:val="PlainText"/>
    <w:uiPriority w:val="99"/>
    <w:semiHidden/>
    <w:locked/>
    <w:rsid w:val="00CB2B05"/>
    <w:rPr>
      <w:rFonts w:ascii="Consolas" w:hAnsi="Consolas"/>
      <w:sz w:val="21"/>
    </w:rPr>
  </w:style>
  <w:style w:type="paragraph" w:styleId="ListParagraph">
    <w:name w:val="List Paragraph"/>
    <w:basedOn w:val="Normal"/>
    <w:uiPriority w:val="34"/>
    <w:qFormat/>
    <w:rsid w:val="00555DBF"/>
    <w:pPr>
      <w:ind w:left="720"/>
    </w:pPr>
  </w:style>
  <w:style w:type="paragraph" w:styleId="NormalWeb">
    <w:name w:val="Normal (Web)"/>
    <w:basedOn w:val="Normal"/>
    <w:uiPriority w:val="99"/>
    <w:semiHidden/>
    <w:rsid w:val="00536DEC"/>
    <w:pPr>
      <w:spacing w:before="100" w:beforeAutospacing="1" w:after="100" w:afterAutospacing="1"/>
      <w:jc w:val="left"/>
    </w:pPr>
    <w:rPr>
      <w:lang w:eastAsia="en-GB"/>
    </w:rPr>
  </w:style>
  <w:style w:type="table" w:styleId="TableGrid">
    <w:name w:val="Table Grid"/>
    <w:basedOn w:val="TableNormal"/>
    <w:uiPriority w:val="59"/>
    <w:locked/>
    <w:rsid w:val="001A2D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7081E"/>
    <w:rPr>
      <w:rFonts w:asciiTheme="minorHAnsi" w:eastAsiaTheme="minorHAnsi" w:hAnsiTheme="minorHAnsi" w:cstheme="minorBidi"/>
      <w:sz w:val="22"/>
      <w:szCs w:val="22"/>
      <w:lang w:eastAsia="en-US"/>
    </w:rPr>
  </w:style>
  <w:style w:type="character" w:customStyle="1" w:styleId="is">
    <w:name w:val="is"/>
    <w:basedOn w:val="DefaultParagraphFont"/>
    <w:rsid w:val="007F250A"/>
  </w:style>
  <w:style w:type="paragraph" w:customStyle="1" w:styleId="at">
    <w:name w:val="at"/>
    <w:basedOn w:val="Normal"/>
    <w:rsid w:val="00A36B96"/>
    <w:pPr>
      <w:spacing w:before="100" w:beforeAutospacing="1" w:after="100" w:afterAutospacing="1"/>
      <w:jc w:val="left"/>
    </w:pPr>
    <w:rPr>
      <w:lang w:eastAsia="en-GB"/>
    </w:rPr>
  </w:style>
  <w:style w:type="paragraph" w:customStyle="1" w:styleId="a">
    <w:name w:val="a"/>
    <w:basedOn w:val="Normal"/>
    <w:rsid w:val="00A36B96"/>
    <w:pPr>
      <w:spacing w:before="100" w:beforeAutospacing="1" w:after="100" w:afterAutospacing="1"/>
      <w:jc w:val="left"/>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152"/>
    <w:pPr>
      <w:jc w:val="both"/>
    </w:pPr>
    <w:rPr>
      <w:rFonts w:ascii="Times New Roman" w:hAnsi="Times New Roman"/>
      <w:sz w:val="24"/>
      <w:szCs w:val="24"/>
      <w:lang w:eastAsia="en-US"/>
    </w:rPr>
  </w:style>
  <w:style w:type="paragraph" w:styleId="Heading1">
    <w:name w:val="heading 1"/>
    <w:basedOn w:val="Normal"/>
    <w:next w:val="Normal"/>
    <w:link w:val="Heading1Char"/>
    <w:uiPriority w:val="99"/>
    <w:qFormat/>
    <w:rsid w:val="00CB2B05"/>
    <w:pPr>
      <w:keepNext/>
      <w:jc w:val="left"/>
      <w:outlineLvl w:val="0"/>
    </w:pPr>
    <w:rPr>
      <w:b/>
      <w:szCs w:val="20"/>
      <w:u w:val="single"/>
    </w:rPr>
  </w:style>
  <w:style w:type="paragraph" w:styleId="Heading2">
    <w:name w:val="heading 2"/>
    <w:basedOn w:val="Normal"/>
    <w:next w:val="Normal"/>
    <w:link w:val="Heading2Char"/>
    <w:uiPriority w:val="99"/>
    <w:qFormat/>
    <w:rsid w:val="00CB2B05"/>
    <w:pPr>
      <w:keepNext/>
      <w:outlineLvl w:val="1"/>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2B05"/>
    <w:rPr>
      <w:rFonts w:ascii="Times New Roman" w:hAnsi="Times New Roman"/>
      <w:b/>
      <w:sz w:val="24"/>
      <w:u w:val="single"/>
    </w:rPr>
  </w:style>
  <w:style w:type="character" w:customStyle="1" w:styleId="Heading2Char">
    <w:name w:val="Heading 2 Char"/>
    <w:link w:val="Heading2"/>
    <w:uiPriority w:val="99"/>
    <w:locked/>
    <w:rsid w:val="00CB2B05"/>
    <w:rPr>
      <w:rFonts w:ascii="Times New Roman" w:hAnsi="Times New Roman"/>
      <w:b/>
      <w:sz w:val="24"/>
      <w:u w:val="single"/>
    </w:rPr>
  </w:style>
  <w:style w:type="paragraph" w:styleId="Subtitle">
    <w:name w:val="Subtitle"/>
    <w:basedOn w:val="Normal"/>
    <w:link w:val="SubtitleChar"/>
    <w:uiPriority w:val="99"/>
    <w:qFormat/>
    <w:rsid w:val="00202152"/>
    <w:pPr>
      <w:spacing w:line="480" w:lineRule="auto"/>
      <w:jc w:val="left"/>
    </w:pPr>
    <w:rPr>
      <w:rFonts w:ascii="Arial" w:hAnsi="Arial"/>
      <w:b/>
      <w:szCs w:val="20"/>
      <w:u w:val="single"/>
    </w:rPr>
  </w:style>
  <w:style w:type="character" w:customStyle="1" w:styleId="SubtitleChar">
    <w:name w:val="Subtitle Char"/>
    <w:link w:val="Subtitle"/>
    <w:uiPriority w:val="99"/>
    <w:locked/>
    <w:rsid w:val="00202152"/>
    <w:rPr>
      <w:rFonts w:ascii="Arial" w:hAnsi="Arial"/>
      <w:b/>
      <w:sz w:val="24"/>
      <w:u w:val="single"/>
    </w:rPr>
  </w:style>
  <w:style w:type="paragraph" w:styleId="BalloonText">
    <w:name w:val="Balloon Text"/>
    <w:basedOn w:val="Normal"/>
    <w:link w:val="BalloonTextChar"/>
    <w:uiPriority w:val="99"/>
    <w:semiHidden/>
    <w:rsid w:val="00BF20B7"/>
    <w:rPr>
      <w:rFonts w:ascii="Tahoma" w:hAnsi="Tahoma"/>
      <w:sz w:val="16"/>
      <w:szCs w:val="20"/>
    </w:rPr>
  </w:style>
  <w:style w:type="character" w:customStyle="1" w:styleId="BalloonTextChar">
    <w:name w:val="Balloon Text Char"/>
    <w:link w:val="BalloonText"/>
    <w:uiPriority w:val="99"/>
    <w:semiHidden/>
    <w:locked/>
    <w:rsid w:val="00BF20B7"/>
    <w:rPr>
      <w:rFonts w:ascii="Tahoma" w:hAnsi="Tahoma"/>
      <w:sz w:val="16"/>
    </w:rPr>
  </w:style>
  <w:style w:type="paragraph" w:styleId="PlainText">
    <w:name w:val="Plain Text"/>
    <w:basedOn w:val="Normal"/>
    <w:link w:val="PlainTextChar"/>
    <w:uiPriority w:val="99"/>
    <w:semiHidden/>
    <w:rsid w:val="00CB2B05"/>
    <w:pPr>
      <w:jc w:val="left"/>
    </w:pPr>
    <w:rPr>
      <w:rFonts w:ascii="Consolas" w:hAnsi="Consolas"/>
      <w:sz w:val="21"/>
      <w:szCs w:val="20"/>
    </w:rPr>
  </w:style>
  <w:style w:type="character" w:customStyle="1" w:styleId="PlainTextChar">
    <w:name w:val="Plain Text Char"/>
    <w:link w:val="PlainText"/>
    <w:uiPriority w:val="99"/>
    <w:semiHidden/>
    <w:locked/>
    <w:rsid w:val="00CB2B05"/>
    <w:rPr>
      <w:rFonts w:ascii="Consolas" w:hAnsi="Consolas"/>
      <w:sz w:val="21"/>
    </w:rPr>
  </w:style>
  <w:style w:type="paragraph" w:styleId="ListParagraph">
    <w:name w:val="List Paragraph"/>
    <w:basedOn w:val="Normal"/>
    <w:uiPriority w:val="34"/>
    <w:qFormat/>
    <w:rsid w:val="00555DBF"/>
    <w:pPr>
      <w:ind w:left="720"/>
    </w:pPr>
  </w:style>
  <w:style w:type="paragraph" w:styleId="NormalWeb">
    <w:name w:val="Normal (Web)"/>
    <w:basedOn w:val="Normal"/>
    <w:uiPriority w:val="99"/>
    <w:semiHidden/>
    <w:rsid w:val="00536DEC"/>
    <w:pPr>
      <w:spacing w:before="100" w:beforeAutospacing="1" w:after="100" w:afterAutospacing="1"/>
      <w:jc w:val="left"/>
    </w:pPr>
    <w:rPr>
      <w:lang w:eastAsia="en-GB"/>
    </w:rPr>
  </w:style>
  <w:style w:type="table" w:styleId="TableGrid">
    <w:name w:val="Table Grid"/>
    <w:basedOn w:val="TableNormal"/>
    <w:uiPriority w:val="59"/>
    <w:locked/>
    <w:rsid w:val="001A2D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7081E"/>
    <w:rPr>
      <w:rFonts w:asciiTheme="minorHAnsi" w:eastAsiaTheme="minorHAnsi" w:hAnsiTheme="minorHAnsi" w:cstheme="minorBidi"/>
      <w:sz w:val="22"/>
      <w:szCs w:val="22"/>
      <w:lang w:eastAsia="en-US"/>
    </w:rPr>
  </w:style>
  <w:style w:type="character" w:customStyle="1" w:styleId="is">
    <w:name w:val="is"/>
    <w:basedOn w:val="DefaultParagraphFont"/>
    <w:rsid w:val="007F250A"/>
  </w:style>
  <w:style w:type="paragraph" w:customStyle="1" w:styleId="at">
    <w:name w:val="at"/>
    <w:basedOn w:val="Normal"/>
    <w:rsid w:val="00A36B96"/>
    <w:pPr>
      <w:spacing w:before="100" w:beforeAutospacing="1" w:after="100" w:afterAutospacing="1"/>
      <w:jc w:val="left"/>
    </w:pPr>
    <w:rPr>
      <w:lang w:eastAsia="en-GB"/>
    </w:rPr>
  </w:style>
  <w:style w:type="paragraph" w:customStyle="1" w:styleId="a">
    <w:name w:val="a"/>
    <w:basedOn w:val="Normal"/>
    <w:rsid w:val="00A36B96"/>
    <w:pPr>
      <w:spacing w:before="100" w:beforeAutospacing="1" w:after="100" w:afterAutospacing="1"/>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8662">
      <w:bodyDiv w:val="1"/>
      <w:marLeft w:val="0"/>
      <w:marRight w:val="0"/>
      <w:marTop w:val="0"/>
      <w:marBottom w:val="0"/>
      <w:divBdr>
        <w:top w:val="none" w:sz="0" w:space="0" w:color="auto"/>
        <w:left w:val="none" w:sz="0" w:space="0" w:color="auto"/>
        <w:bottom w:val="none" w:sz="0" w:space="0" w:color="auto"/>
        <w:right w:val="none" w:sz="0" w:space="0" w:color="auto"/>
      </w:divBdr>
    </w:div>
    <w:div w:id="54361300">
      <w:bodyDiv w:val="1"/>
      <w:marLeft w:val="0"/>
      <w:marRight w:val="0"/>
      <w:marTop w:val="0"/>
      <w:marBottom w:val="0"/>
      <w:divBdr>
        <w:top w:val="none" w:sz="0" w:space="0" w:color="auto"/>
        <w:left w:val="none" w:sz="0" w:space="0" w:color="auto"/>
        <w:bottom w:val="none" w:sz="0" w:space="0" w:color="auto"/>
        <w:right w:val="none" w:sz="0" w:space="0" w:color="auto"/>
      </w:divBdr>
    </w:div>
    <w:div w:id="131754358">
      <w:bodyDiv w:val="1"/>
      <w:marLeft w:val="0"/>
      <w:marRight w:val="0"/>
      <w:marTop w:val="0"/>
      <w:marBottom w:val="0"/>
      <w:divBdr>
        <w:top w:val="none" w:sz="0" w:space="0" w:color="auto"/>
        <w:left w:val="none" w:sz="0" w:space="0" w:color="auto"/>
        <w:bottom w:val="none" w:sz="0" w:space="0" w:color="auto"/>
        <w:right w:val="none" w:sz="0" w:space="0" w:color="auto"/>
      </w:divBdr>
    </w:div>
    <w:div w:id="171991835">
      <w:bodyDiv w:val="1"/>
      <w:marLeft w:val="0"/>
      <w:marRight w:val="0"/>
      <w:marTop w:val="0"/>
      <w:marBottom w:val="0"/>
      <w:divBdr>
        <w:top w:val="none" w:sz="0" w:space="0" w:color="auto"/>
        <w:left w:val="none" w:sz="0" w:space="0" w:color="auto"/>
        <w:bottom w:val="none" w:sz="0" w:space="0" w:color="auto"/>
        <w:right w:val="none" w:sz="0" w:space="0" w:color="auto"/>
      </w:divBdr>
      <w:divsChild>
        <w:div w:id="1299803077">
          <w:marLeft w:val="0"/>
          <w:marRight w:val="0"/>
          <w:marTop w:val="495"/>
          <w:marBottom w:val="0"/>
          <w:divBdr>
            <w:top w:val="none" w:sz="0" w:space="0" w:color="auto"/>
            <w:left w:val="none" w:sz="0" w:space="0" w:color="auto"/>
            <w:bottom w:val="none" w:sz="0" w:space="0" w:color="auto"/>
            <w:right w:val="none" w:sz="0" w:space="0" w:color="auto"/>
          </w:divBdr>
          <w:divsChild>
            <w:div w:id="2068602495">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sChild>
                    <w:div w:id="436023733">
                      <w:marLeft w:val="0"/>
                      <w:marRight w:val="0"/>
                      <w:marTop w:val="0"/>
                      <w:marBottom w:val="0"/>
                      <w:divBdr>
                        <w:top w:val="none" w:sz="0" w:space="0" w:color="auto"/>
                        <w:left w:val="none" w:sz="0" w:space="0" w:color="auto"/>
                        <w:bottom w:val="none" w:sz="0" w:space="0" w:color="auto"/>
                        <w:right w:val="none" w:sz="0" w:space="0" w:color="auto"/>
                      </w:divBdr>
                      <w:divsChild>
                        <w:div w:id="1632323506">
                          <w:marLeft w:val="0"/>
                          <w:marRight w:val="-14250"/>
                          <w:marTop w:val="0"/>
                          <w:marBottom w:val="240"/>
                          <w:divBdr>
                            <w:top w:val="none" w:sz="0" w:space="0" w:color="auto"/>
                            <w:left w:val="none" w:sz="0" w:space="0" w:color="auto"/>
                            <w:bottom w:val="none" w:sz="0" w:space="0" w:color="auto"/>
                            <w:right w:val="none" w:sz="0" w:space="0" w:color="auto"/>
                          </w:divBdr>
                          <w:divsChild>
                            <w:div w:id="665935427">
                              <w:marLeft w:val="0"/>
                              <w:marRight w:val="0"/>
                              <w:marTop w:val="0"/>
                              <w:marBottom w:val="0"/>
                              <w:divBdr>
                                <w:top w:val="none" w:sz="0" w:space="0" w:color="auto"/>
                                <w:left w:val="none" w:sz="0" w:space="0" w:color="auto"/>
                                <w:bottom w:val="none" w:sz="0" w:space="0" w:color="auto"/>
                                <w:right w:val="none" w:sz="0" w:space="0" w:color="auto"/>
                              </w:divBdr>
                              <w:divsChild>
                                <w:div w:id="1895196213">
                                  <w:marLeft w:val="0"/>
                                  <w:marRight w:val="0"/>
                                  <w:marTop w:val="0"/>
                                  <w:marBottom w:val="0"/>
                                  <w:divBdr>
                                    <w:top w:val="none" w:sz="0" w:space="0" w:color="auto"/>
                                    <w:left w:val="none" w:sz="0" w:space="0" w:color="auto"/>
                                    <w:bottom w:val="none" w:sz="0" w:space="0" w:color="auto"/>
                                    <w:right w:val="none" w:sz="0" w:space="0" w:color="auto"/>
                                  </w:divBdr>
                                  <w:divsChild>
                                    <w:div w:id="2027782012">
                                      <w:marLeft w:val="0"/>
                                      <w:marRight w:val="0"/>
                                      <w:marTop w:val="0"/>
                                      <w:marBottom w:val="0"/>
                                      <w:divBdr>
                                        <w:top w:val="none" w:sz="0" w:space="0" w:color="auto"/>
                                        <w:left w:val="none" w:sz="0" w:space="0" w:color="auto"/>
                                        <w:bottom w:val="none" w:sz="0" w:space="0" w:color="auto"/>
                                        <w:right w:val="none" w:sz="0" w:space="0" w:color="auto"/>
                                      </w:divBdr>
                                      <w:divsChild>
                                        <w:div w:id="599727379">
                                          <w:marLeft w:val="0"/>
                                          <w:marRight w:val="0"/>
                                          <w:marTop w:val="0"/>
                                          <w:marBottom w:val="0"/>
                                          <w:divBdr>
                                            <w:top w:val="none" w:sz="0" w:space="0" w:color="auto"/>
                                            <w:left w:val="none" w:sz="0" w:space="0" w:color="auto"/>
                                            <w:bottom w:val="none" w:sz="0" w:space="0" w:color="auto"/>
                                            <w:right w:val="none" w:sz="0" w:space="0" w:color="auto"/>
                                          </w:divBdr>
                                          <w:divsChild>
                                            <w:div w:id="2382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28249">
      <w:bodyDiv w:val="1"/>
      <w:marLeft w:val="0"/>
      <w:marRight w:val="0"/>
      <w:marTop w:val="0"/>
      <w:marBottom w:val="0"/>
      <w:divBdr>
        <w:top w:val="none" w:sz="0" w:space="0" w:color="auto"/>
        <w:left w:val="none" w:sz="0" w:space="0" w:color="auto"/>
        <w:bottom w:val="none" w:sz="0" w:space="0" w:color="auto"/>
        <w:right w:val="none" w:sz="0" w:space="0" w:color="auto"/>
      </w:divBdr>
    </w:div>
    <w:div w:id="203296216">
      <w:bodyDiv w:val="1"/>
      <w:marLeft w:val="0"/>
      <w:marRight w:val="0"/>
      <w:marTop w:val="0"/>
      <w:marBottom w:val="0"/>
      <w:divBdr>
        <w:top w:val="none" w:sz="0" w:space="0" w:color="auto"/>
        <w:left w:val="none" w:sz="0" w:space="0" w:color="auto"/>
        <w:bottom w:val="none" w:sz="0" w:space="0" w:color="auto"/>
        <w:right w:val="none" w:sz="0" w:space="0" w:color="auto"/>
      </w:divBdr>
    </w:div>
    <w:div w:id="269702773">
      <w:bodyDiv w:val="1"/>
      <w:marLeft w:val="0"/>
      <w:marRight w:val="0"/>
      <w:marTop w:val="0"/>
      <w:marBottom w:val="0"/>
      <w:divBdr>
        <w:top w:val="none" w:sz="0" w:space="0" w:color="auto"/>
        <w:left w:val="none" w:sz="0" w:space="0" w:color="auto"/>
        <w:bottom w:val="none" w:sz="0" w:space="0" w:color="auto"/>
        <w:right w:val="none" w:sz="0" w:space="0" w:color="auto"/>
      </w:divBdr>
    </w:div>
    <w:div w:id="353774060">
      <w:marLeft w:val="0"/>
      <w:marRight w:val="0"/>
      <w:marTop w:val="0"/>
      <w:marBottom w:val="0"/>
      <w:divBdr>
        <w:top w:val="none" w:sz="0" w:space="0" w:color="auto"/>
        <w:left w:val="none" w:sz="0" w:space="0" w:color="auto"/>
        <w:bottom w:val="none" w:sz="0" w:space="0" w:color="auto"/>
        <w:right w:val="none" w:sz="0" w:space="0" w:color="auto"/>
      </w:divBdr>
    </w:div>
    <w:div w:id="353774061">
      <w:marLeft w:val="0"/>
      <w:marRight w:val="0"/>
      <w:marTop w:val="0"/>
      <w:marBottom w:val="0"/>
      <w:divBdr>
        <w:top w:val="none" w:sz="0" w:space="0" w:color="auto"/>
        <w:left w:val="none" w:sz="0" w:space="0" w:color="auto"/>
        <w:bottom w:val="none" w:sz="0" w:space="0" w:color="auto"/>
        <w:right w:val="none" w:sz="0" w:space="0" w:color="auto"/>
      </w:divBdr>
    </w:div>
    <w:div w:id="353774062">
      <w:marLeft w:val="0"/>
      <w:marRight w:val="0"/>
      <w:marTop w:val="0"/>
      <w:marBottom w:val="0"/>
      <w:divBdr>
        <w:top w:val="none" w:sz="0" w:space="0" w:color="auto"/>
        <w:left w:val="none" w:sz="0" w:space="0" w:color="auto"/>
        <w:bottom w:val="none" w:sz="0" w:space="0" w:color="auto"/>
        <w:right w:val="none" w:sz="0" w:space="0" w:color="auto"/>
      </w:divBdr>
    </w:div>
    <w:div w:id="353774063">
      <w:marLeft w:val="0"/>
      <w:marRight w:val="0"/>
      <w:marTop w:val="0"/>
      <w:marBottom w:val="0"/>
      <w:divBdr>
        <w:top w:val="none" w:sz="0" w:space="0" w:color="auto"/>
        <w:left w:val="none" w:sz="0" w:space="0" w:color="auto"/>
        <w:bottom w:val="none" w:sz="0" w:space="0" w:color="auto"/>
        <w:right w:val="none" w:sz="0" w:space="0" w:color="auto"/>
      </w:divBdr>
    </w:div>
    <w:div w:id="353774064">
      <w:marLeft w:val="0"/>
      <w:marRight w:val="0"/>
      <w:marTop w:val="0"/>
      <w:marBottom w:val="0"/>
      <w:divBdr>
        <w:top w:val="none" w:sz="0" w:space="0" w:color="auto"/>
        <w:left w:val="none" w:sz="0" w:space="0" w:color="auto"/>
        <w:bottom w:val="none" w:sz="0" w:space="0" w:color="auto"/>
        <w:right w:val="none" w:sz="0" w:space="0" w:color="auto"/>
      </w:divBdr>
    </w:div>
    <w:div w:id="353774067">
      <w:marLeft w:val="0"/>
      <w:marRight w:val="0"/>
      <w:marTop w:val="0"/>
      <w:marBottom w:val="0"/>
      <w:divBdr>
        <w:top w:val="none" w:sz="0" w:space="0" w:color="auto"/>
        <w:left w:val="none" w:sz="0" w:space="0" w:color="auto"/>
        <w:bottom w:val="none" w:sz="0" w:space="0" w:color="auto"/>
        <w:right w:val="none" w:sz="0" w:space="0" w:color="auto"/>
      </w:divBdr>
    </w:div>
    <w:div w:id="353774072">
      <w:marLeft w:val="0"/>
      <w:marRight w:val="0"/>
      <w:marTop w:val="0"/>
      <w:marBottom w:val="0"/>
      <w:divBdr>
        <w:top w:val="none" w:sz="0" w:space="0" w:color="auto"/>
        <w:left w:val="none" w:sz="0" w:space="0" w:color="auto"/>
        <w:bottom w:val="none" w:sz="0" w:space="0" w:color="auto"/>
        <w:right w:val="none" w:sz="0" w:space="0" w:color="auto"/>
      </w:divBdr>
    </w:div>
    <w:div w:id="353774073">
      <w:marLeft w:val="0"/>
      <w:marRight w:val="0"/>
      <w:marTop w:val="0"/>
      <w:marBottom w:val="0"/>
      <w:divBdr>
        <w:top w:val="none" w:sz="0" w:space="0" w:color="auto"/>
        <w:left w:val="none" w:sz="0" w:space="0" w:color="auto"/>
        <w:bottom w:val="none" w:sz="0" w:space="0" w:color="auto"/>
        <w:right w:val="none" w:sz="0" w:space="0" w:color="auto"/>
      </w:divBdr>
      <w:divsChild>
        <w:div w:id="353774105">
          <w:marLeft w:val="0"/>
          <w:marRight w:val="0"/>
          <w:marTop w:val="0"/>
          <w:marBottom w:val="0"/>
          <w:divBdr>
            <w:top w:val="none" w:sz="0" w:space="0" w:color="auto"/>
            <w:left w:val="none" w:sz="0" w:space="0" w:color="auto"/>
            <w:bottom w:val="none" w:sz="0" w:space="0" w:color="auto"/>
            <w:right w:val="none" w:sz="0" w:space="0" w:color="auto"/>
          </w:divBdr>
          <w:divsChild>
            <w:div w:id="353774104">
              <w:marLeft w:val="0"/>
              <w:marRight w:val="0"/>
              <w:marTop w:val="0"/>
              <w:marBottom w:val="0"/>
              <w:divBdr>
                <w:top w:val="none" w:sz="0" w:space="0" w:color="auto"/>
                <w:left w:val="none" w:sz="0" w:space="0" w:color="auto"/>
                <w:bottom w:val="none" w:sz="0" w:space="0" w:color="auto"/>
                <w:right w:val="none" w:sz="0" w:space="0" w:color="auto"/>
              </w:divBdr>
              <w:divsChild>
                <w:div w:id="353774077">
                  <w:marLeft w:val="0"/>
                  <w:marRight w:val="0"/>
                  <w:marTop w:val="0"/>
                  <w:marBottom w:val="0"/>
                  <w:divBdr>
                    <w:top w:val="none" w:sz="0" w:space="0" w:color="auto"/>
                    <w:left w:val="none" w:sz="0" w:space="0" w:color="auto"/>
                    <w:bottom w:val="none" w:sz="0" w:space="0" w:color="auto"/>
                    <w:right w:val="none" w:sz="0" w:space="0" w:color="auto"/>
                  </w:divBdr>
                  <w:divsChild>
                    <w:div w:id="353774095">
                      <w:marLeft w:val="0"/>
                      <w:marRight w:val="0"/>
                      <w:marTop w:val="0"/>
                      <w:marBottom w:val="0"/>
                      <w:divBdr>
                        <w:top w:val="none" w:sz="0" w:space="0" w:color="auto"/>
                        <w:left w:val="none" w:sz="0" w:space="0" w:color="auto"/>
                        <w:bottom w:val="none" w:sz="0" w:space="0" w:color="auto"/>
                        <w:right w:val="none" w:sz="0" w:space="0" w:color="auto"/>
                      </w:divBdr>
                      <w:divsChild>
                        <w:div w:id="3537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774074">
      <w:marLeft w:val="0"/>
      <w:marRight w:val="0"/>
      <w:marTop w:val="0"/>
      <w:marBottom w:val="0"/>
      <w:divBdr>
        <w:top w:val="none" w:sz="0" w:space="0" w:color="auto"/>
        <w:left w:val="none" w:sz="0" w:space="0" w:color="auto"/>
        <w:bottom w:val="none" w:sz="0" w:space="0" w:color="auto"/>
        <w:right w:val="none" w:sz="0" w:space="0" w:color="auto"/>
      </w:divBdr>
    </w:div>
    <w:div w:id="353774075">
      <w:marLeft w:val="0"/>
      <w:marRight w:val="0"/>
      <w:marTop w:val="0"/>
      <w:marBottom w:val="0"/>
      <w:divBdr>
        <w:top w:val="none" w:sz="0" w:space="0" w:color="auto"/>
        <w:left w:val="none" w:sz="0" w:space="0" w:color="auto"/>
        <w:bottom w:val="none" w:sz="0" w:space="0" w:color="auto"/>
        <w:right w:val="none" w:sz="0" w:space="0" w:color="auto"/>
      </w:divBdr>
      <w:divsChild>
        <w:div w:id="353774065">
          <w:marLeft w:val="634"/>
          <w:marRight w:val="0"/>
          <w:marTop w:val="192"/>
          <w:marBottom w:val="0"/>
          <w:divBdr>
            <w:top w:val="none" w:sz="0" w:space="0" w:color="auto"/>
            <w:left w:val="none" w:sz="0" w:space="0" w:color="auto"/>
            <w:bottom w:val="none" w:sz="0" w:space="0" w:color="auto"/>
            <w:right w:val="none" w:sz="0" w:space="0" w:color="auto"/>
          </w:divBdr>
        </w:div>
        <w:div w:id="353774066">
          <w:marLeft w:val="634"/>
          <w:marRight w:val="0"/>
          <w:marTop w:val="192"/>
          <w:marBottom w:val="0"/>
          <w:divBdr>
            <w:top w:val="none" w:sz="0" w:space="0" w:color="auto"/>
            <w:left w:val="none" w:sz="0" w:space="0" w:color="auto"/>
            <w:bottom w:val="none" w:sz="0" w:space="0" w:color="auto"/>
            <w:right w:val="none" w:sz="0" w:space="0" w:color="auto"/>
          </w:divBdr>
        </w:div>
        <w:div w:id="353774076">
          <w:marLeft w:val="1166"/>
          <w:marRight w:val="0"/>
          <w:marTop w:val="168"/>
          <w:marBottom w:val="0"/>
          <w:divBdr>
            <w:top w:val="none" w:sz="0" w:space="0" w:color="auto"/>
            <w:left w:val="none" w:sz="0" w:space="0" w:color="auto"/>
            <w:bottom w:val="none" w:sz="0" w:space="0" w:color="auto"/>
            <w:right w:val="none" w:sz="0" w:space="0" w:color="auto"/>
          </w:divBdr>
        </w:div>
        <w:div w:id="353774082">
          <w:marLeft w:val="634"/>
          <w:marRight w:val="0"/>
          <w:marTop w:val="192"/>
          <w:marBottom w:val="0"/>
          <w:divBdr>
            <w:top w:val="none" w:sz="0" w:space="0" w:color="auto"/>
            <w:left w:val="none" w:sz="0" w:space="0" w:color="auto"/>
            <w:bottom w:val="none" w:sz="0" w:space="0" w:color="auto"/>
            <w:right w:val="none" w:sz="0" w:space="0" w:color="auto"/>
          </w:divBdr>
        </w:div>
        <w:div w:id="353774089">
          <w:marLeft w:val="634"/>
          <w:marRight w:val="0"/>
          <w:marTop w:val="192"/>
          <w:marBottom w:val="0"/>
          <w:divBdr>
            <w:top w:val="none" w:sz="0" w:space="0" w:color="auto"/>
            <w:left w:val="none" w:sz="0" w:space="0" w:color="auto"/>
            <w:bottom w:val="none" w:sz="0" w:space="0" w:color="auto"/>
            <w:right w:val="none" w:sz="0" w:space="0" w:color="auto"/>
          </w:divBdr>
        </w:div>
        <w:div w:id="353774091">
          <w:marLeft w:val="634"/>
          <w:marRight w:val="0"/>
          <w:marTop w:val="192"/>
          <w:marBottom w:val="0"/>
          <w:divBdr>
            <w:top w:val="none" w:sz="0" w:space="0" w:color="auto"/>
            <w:left w:val="none" w:sz="0" w:space="0" w:color="auto"/>
            <w:bottom w:val="none" w:sz="0" w:space="0" w:color="auto"/>
            <w:right w:val="none" w:sz="0" w:space="0" w:color="auto"/>
          </w:divBdr>
        </w:div>
        <w:div w:id="353774092">
          <w:marLeft w:val="634"/>
          <w:marRight w:val="0"/>
          <w:marTop w:val="192"/>
          <w:marBottom w:val="0"/>
          <w:divBdr>
            <w:top w:val="none" w:sz="0" w:space="0" w:color="auto"/>
            <w:left w:val="none" w:sz="0" w:space="0" w:color="auto"/>
            <w:bottom w:val="none" w:sz="0" w:space="0" w:color="auto"/>
            <w:right w:val="none" w:sz="0" w:space="0" w:color="auto"/>
          </w:divBdr>
        </w:div>
        <w:div w:id="353774094">
          <w:marLeft w:val="1354"/>
          <w:marRight w:val="0"/>
          <w:marTop w:val="168"/>
          <w:marBottom w:val="0"/>
          <w:divBdr>
            <w:top w:val="none" w:sz="0" w:space="0" w:color="auto"/>
            <w:left w:val="none" w:sz="0" w:space="0" w:color="auto"/>
            <w:bottom w:val="none" w:sz="0" w:space="0" w:color="auto"/>
            <w:right w:val="none" w:sz="0" w:space="0" w:color="auto"/>
          </w:divBdr>
        </w:div>
        <w:div w:id="353774097">
          <w:marLeft w:val="634"/>
          <w:marRight w:val="0"/>
          <w:marTop w:val="192"/>
          <w:marBottom w:val="0"/>
          <w:divBdr>
            <w:top w:val="none" w:sz="0" w:space="0" w:color="auto"/>
            <w:left w:val="none" w:sz="0" w:space="0" w:color="auto"/>
            <w:bottom w:val="none" w:sz="0" w:space="0" w:color="auto"/>
            <w:right w:val="none" w:sz="0" w:space="0" w:color="auto"/>
          </w:divBdr>
        </w:div>
      </w:divsChild>
    </w:div>
    <w:div w:id="353774078">
      <w:marLeft w:val="0"/>
      <w:marRight w:val="0"/>
      <w:marTop w:val="0"/>
      <w:marBottom w:val="0"/>
      <w:divBdr>
        <w:top w:val="none" w:sz="0" w:space="0" w:color="auto"/>
        <w:left w:val="none" w:sz="0" w:space="0" w:color="auto"/>
        <w:bottom w:val="none" w:sz="0" w:space="0" w:color="auto"/>
        <w:right w:val="none" w:sz="0" w:space="0" w:color="auto"/>
      </w:divBdr>
    </w:div>
    <w:div w:id="353774079">
      <w:marLeft w:val="0"/>
      <w:marRight w:val="0"/>
      <w:marTop w:val="0"/>
      <w:marBottom w:val="0"/>
      <w:divBdr>
        <w:top w:val="none" w:sz="0" w:space="0" w:color="auto"/>
        <w:left w:val="none" w:sz="0" w:space="0" w:color="auto"/>
        <w:bottom w:val="none" w:sz="0" w:space="0" w:color="auto"/>
        <w:right w:val="none" w:sz="0" w:space="0" w:color="auto"/>
      </w:divBdr>
    </w:div>
    <w:div w:id="353774084">
      <w:marLeft w:val="0"/>
      <w:marRight w:val="0"/>
      <w:marTop w:val="0"/>
      <w:marBottom w:val="0"/>
      <w:divBdr>
        <w:top w:val="none" w:sz="0" w:space="0" w:color="auto"/>
        <w:left w:val="none" w:sz="0" w:space="0" w:color="auto"/>
        <w:bottom w:val="none" w:sz="0" w:space="0" w:color="auto"/>
        <w:right w:val="none" w:sz="0" w:space="0" w:color="auto"/>
      </w:divBdr>
    </w:div>
    <w:div w:id="353774085">
      <w:marLeft w:val="0"/>
      <w:marRight w:val="0"/>
      <w:marTop w:val="0"/>
      <w:marBottom w:val="0"/>
      <w:divBdr>
        <w:top w:val="none" w:sz="0" w:space="0" w:color="auto"/>
        <w:left w:val="none" w:sz="0" w:space="0" w:color="auto"/>
        <w:bottom w:val="none" w:sz="0" w:space="0" w:color="auto"/>
        <w:right w:val="none" w:sz="0" w:space="0" w:color="auto"/>
      </w:divBdr>
      <w:divsChild>
        <w:div w:id="353774090">
          <w:marLeft w:val="0"/>
          <w:marRight w:val="0"/>
          <w:marTop w:val="0"/>
          <w:marBottom w:val="0"/>
          <w:divBdr>
            <w:top w:val="none" w:sz="0" w:space="0" w:color="auto"/>
            <w:left w:val="none" w:sz="0" w:space="0" w:color="auto"/>
            <w:bottom w:val="none" w:sz="0" w:space="0" w:color="auto"/>
            <w:right w:val="none" w:sz="0" w:space="0" w:color="auto"/>
          </w:divBdr>
          <w:divsChild>
            <w:div w:id="353774096">
              <w:marLeft w:val="0"/>
              <w:marRight w:val="0"/>
              <w:marTop w:val="0"/>
              <w:marBottom w:val="0"/>
              <w:divBdr>
                <w:top w:val="none" w:sz="0" w:space="0" w:color="auto"/>
                <w:left w:val="none" w:sz="0" w:space="0" w:color="auto"/>
                <w:bottom w:val="none" w:sz="0" w:space="0" w:color="auto"/>
                <w:right w:val="none" w:sz="0" w:space="0" w:color="auto"/>
              </w:divBdr>
              <w:divsChild>
                <w:div w:id="353774069">
                  <w:marLeft w:val="0"/>
                  <w:marRight w:val="0"/>
                  <w:marTop w:val="0"/>
                  <w:marBottom w:val="0"/>
                  <w:divBdr>
                    <w:top w:val="none" w:sz="0" w:space="0" w:color="auto"/>
                    <w:left w:val="none" w:sz="0" w:space="0" w:color="auto"/>
                    <w:bottom w:val="none" w:sz="0" w:space="0" w:color="auto"/>
                    <w:right w:val="none" w:sz="0" w:space="0" w:color="auto"/>
                  </w:divBdr>
                  <w:divsChild>
                    <w:div w:id="353774081">
                      <w:marLeft w:val="0"/>
                      <w:marRight w:val="0"/>
                      <w:marTop w:val="0"/>
                      <w:marBottom w:val="0"/>
                      <w:divBdr>
                        <w:top w:val="none" w:sz="0" w:space="0" w:color="auto"/>
                        <w:left w:val="none" w:sz="0" w:space="0" w:color="auto"/>
                        <w:bottom w:val="none" w:sz="0" w:space="0" w:color="auto"/>
                        <w:right w:val="none" w:sz="0" w:space="0" w:color="auto"/>
                      </w:divBdr>
                      <w:divsChild>
                        <w:div w:id="3537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774086">
      <w:marLeft w:val="0"/>
      <w:marRight w:val="0"/>
      <w:marTop w:val="0"/>
      <w:marBottom w:val="0"/>
      <w:divBdr>
        <w:top w:val="none" w:sz="0" w:space="0" w:color="auto"/>
        <w:left w:val="none" w:sz="0" w:space="0" w:color="auto"/>
        <w:bottom w:val="none" w:sz="0" w:space="0" w:color="auto"/>
        <w:right w:val="none" w:sz="0" w:space="0" w:color="auto"/>
      </w:divBdr>
    </w:div>
    <w:div w:id="353774093">
      <w:marLeft w:val="0"/>
      <w:marRight w:val="0"/>
      <w:marTop w:val="0"/>
      <w:marBottom w:val="0"/>
      <w:divBdr>
        <w:top w:val="none" w:sz="0" w:space="0" w:color="auto"/>
        <w:left w:val="none" w:sz="0" w:space="0" w:color="auto"/>
        <w:bottom w:val="none" w:sz="0" w:space="0" w:color="auto"/>
        <w:right w:val="none" w:sz="0" w:space="0" w:color="auto"/>
      </w:divBdr>
    </w:div>
    <w:div w:id="353774098">
      <w:marLeft w:val="0"/>
      <w:marRight w:val="0"/>
      <w:marTop w:val="0"/>
      <w:marBottom w:val="0"/>
      <w:divBdr>
        <w:top w:val="none" w:sz="0" w:space="0" w:color="auto"/>
        <w:left w:val="none" w:sz="0" w:space="0" w:color="auto"/>
        <w:bottom w:val="none" w:sz="0" w:space="0" w:color="auto"/>
        <w:right w:val="none" w:sz="0" w:space="0" w:color="auto"/>
      </w:divBdr>
    </w:div>
    <w:div w:id="353774101">
      <w:marLeft w:val="0"/>
      <w:marRight w:val="0"/>
      <w:marTop w:val="0"/>
      <w:marBottom w:val="0"/>
      <w:divBdr>
        <w:top w:val="none" w:sz="0" w:space="0" w:color="auto"/>
        <w:left w:val="none" w:sz="0" w:space="0" w:color="auto"/>
        <w:bottom w:val="none" w:sz="0" w:space="0" w:color="auto"/>
        <w:right w:val="none" w:sz="0" w:space="0" w:color="auto"/>
      </w:divBdr>
    </w:div>
    <w:div w:id="353774103">
      <w:marLeft w:val="0"/>
      <w:marRight w:val="0"/>
      <w:marTop w:val="0"/>
      <w:marBottom w:val="0"/>
      <w:divBdr>
        <w:top w:val="none" w:sz="0" w:space="0" w:color="auto"/>
        <w:left w:val="none" w:sz="0" w:space="0" w:color="auto"/>
        <w:bottom w:val="none" w:sz="0" w:space="0" w:color="auto"/>
        <w:right w:val="none" w:sz="0" w:space="0" w:color="auto"/>
      </w:divBdr>
      <w:divsChild>
        <w:div w:id="353774068">
          <w:marLeft w:val="1354"/>
          <w:marRight w:val="0"/>
          <w:marTop w:val="120"/>
          <w:marBottom w:val="0"/>
          <w:divBdr>
            <w:top w:val="none" w:sz="0" w:space="0" w:color="auto"/>
            <w:left w:val="none" w:sz="0" w:space="0" w:color="auto"/>
            <w:bottom w:val="none" w:sz="0" w:space="0" w:color="auto"/>
            <w:right w:val="none" w:sz="0" w:space="0" w:color="auto"/>
          </w:divBdr>
        </w:div>
        <w:div w:id="353774070">
          <w:marLeft w:val="634"/>
          <w:marRight w:val="0"/>
          <w:marTop w:val="120"/>
          <w:marBottom w:val="0"/>
          <w:divBdr>
            <w:top w:val="none" w:sz="0" w:space="0" w:color="auto"/>
            <w:left w:val="none" w:sz="0" w:space="0" w:color="auto"/>
            <w:bottom w:val="none" w:sz="0" w:space="0" w:color="auto"/>
            <w:right w:val="none" w:sz="0" w:space="0" w:color="auto"/>
          </w:divBdr>
        </w:div>
        <w:div w:id="353774071">
          <w:marLeft w:val="1354"/>
          <w:marRight w:val="0"/>
          <w:marTop w:val="120"/>
          <w:marBottom w:val="0"/>
          <w:divBdr>
            <w:top w:val="none" w:sz="0" w:space="0" w:color="auto"/>
            <w:left w:val="none" w:sz="0" w:space="0" w:color="auto"/>
            <w:bottom w:val="none" w:sz="0" w:space="0" w:color="auto"/>
            <w:right w:val="none" w:sz="0" w:space="0" w:color="auto"/>
          </w:divBdr>
        </w:div>
        <w:div w:id="353774080">
          <w:marLeft w:val="1354"/>
          <w:marRight w:val="0"/>
          <w:marTop w:val="120"/>
          <w:marBottom w:val="0"/>
          <w:divBdr>
            <w:top w:val="none" w:sz="0" w:space="0" w:color="auto"/>
            <w:left w:val="none" w:sz="0" w:space="0" w:color="auto"/>
            <w:bottom w:val="none" w:sz="0" w:space="0" w:color="auto"/>
            <w:right w:val="none" w:sz="0" w:space="0" w:color="auto"/>
          </w:divBdr>
        </w:div>
        <w:div w:id="353774083">
          <w:marLeft w:val="634"/>
          <w:marRight w:val="0"/>
          <w:marTop w:val="120"/>
          <w:marBottom w:val="0"/>
          <w:divBdr>
            <w:top w:val="none" w:sz="0" w:space="0" w:color="auto"/>
            <w:left w:val="none" w:sz="0" w:space="0" w:color="auto"/>
            <w:bottom w:val="none" w:sz="0" w:space="0" w:color="auto"/>
            <w:right w:val="none" w:sz="0" w:space="0" w:color="auto"/>
          </w:divBdr>
        </w:div>
        <w:div w:id="353774088">
          <w:marLeft w:val="1354"/>
          <w:marRight w:val="0"/>
          <w:marTop w:val="120"/>
          <w:marBottom w:val="0"/>
          <w:divBdr>
            <w:top w:val="none" w:sz="0" w:space="0" w:color="auto"/>
            <w:left w:val="none" w:sz="0" w:space="0" w:color="auto"/>
            <w:bottom w:val="none" w:sz="0" w:space="0" w:color="auto"/>
            <w:right w:val="none" w:sz="0" w:space="0" w:color="auto"/>
          </w:divBdr>
        </w:div>
        <w:div w:id="353774099">
          <w:marLeft w:val="1354"/>
          <w:marRight w:val="0"/>
          <w:marTop w:val="120"/>
          <w:marBottom w:val="0"/>
          <w:divBdr>
            <w:top w:val="none" w:sz="0" w:space="0" w:color="auto"/>
            <w:left w:val="none" w:sz="0" w:space="0" w:color="auto"/>
            <w:bottom w:val="none" w:sz="0" w:space="0" w:color="auto"/>
            <w:right w:val="none" w:sz="0" w:space="0" w:color="auto"/>
          </w:divBdr>
        </w:div>
        <w:div w:id="353774100">
          <w:marLeft w:val="1354"/>
          <w:marRight w:val="0"/>
          <w:marTop w:val="120"/>
          <w:marBottom w:val="0"/>
          <w:divBdr>
            <w:top w:val="none" w:sz="0" w:space="0" w:color="auto"/>
            <w:left w:val="none" w:sz="0" w:space="0" w:color="auto"/>
            <w:bottom w:val="none" w:sz="0" w:space="0" w:color="auto"/>
            <w:right w:val="none" w:sz="0" w:space="0" w:color="auto"/>
          </w:divBdr>
        </w:div>
        <w:div w:id="353774102">
          <w:marLeft w:val="1354"/>
          <w:marRight w:val="0"/>
          <w:marTop w:val="120"/>
          <w:marBottom w:val="0"/>
          <w:divBdr>
            <w:top w:val="none" w:sz="0" w:space="0" w:color="auto"/>
            <w:left w:val="none" w:sz="0" w:space="0" w:color="auto"/>
            <w:bottom w:val="none" w:sz="0" w:space="0" w:color="auto"/>
            <w:right w:val="none" w:sz="0" w:space="0" w:color="auto"/>
          </w:divBdr>
        </w:div>
        <w:div w:id="353774106">
          <w:marLeft w:val="1354"/>
          <w:marRight w:val="0"/>
          <w:marTop w:val="120"/>
          <w:marBottom w:val="0"/>
          <w:divBdr>
            <w:top w:val="none" w:sz="0" w:space="0" w:color="auto"/>
            <w:left w:val="none" w:sz="0" w:space="0" w:color="auto"/>
            <w:bottom w:val="none" w:sz="0" w:space="0" w:color="auto"/>
            <w:right w:val="none" w:sz="0" w:space="0" w:color="auto"/>
          </w:divBdr>
        </w:div>
      </w:divsChild>
    </w:div>
    <w:div w:id="353774108">
      <w:marLeft w:val="0"/>
      <w:marRight w:val="0"/>
      <w:marTop w:val="0"/>
      <w:marBottom w:val="0"/>
      <w:divBdr>
        <w:top w:val="none" w:sz="0" w:space="0" w:color="auto"/>
        <w:left w:val="none" w:sz="0" w:space="0" w:color="auto"/>
        <w:bottom w:val="none" w:sz="0" w:space="0" w:color="auto"/>
        <w:right w:val="none" w:sz="0" w:space="0" w:color="auto"/>
      </w:divBdr>
    </w:div>
    <w:div w:id="353774109">
      <w:marLeft w:val="0"/>
      <w:marRight w:val="0"/>
      <w:marTop w:val="0"/>
      <w:marBottom w:val="0"/>
      <w:divBdr>
        <w:top w:val="none" w:sz="0" w:space="0" w:color="auto"/>
        <w:left w:val="none" w:sz="0" w:space="0" w:color="auto"/>
        <w:bottom w:val="none" w:sz="0" w:space="0" w:color="auto"/>
        <w:right w:val="none" w:sz="0" w:space="0" w:color="auto"/>
      </w:divBdr>
    </w:div>
    <w:div w:id="411899501">
      <w:bodyDiv w:val="1"/>
      <w:marLeft w:val="0"/>
      <w:marRight w:val="0"/>
      <w:marTop w:val="0"/>
      <w:marBottom w:val="0"/>
      <w:divBdr>
        <w:top w:val="none" w:sz="0" w:space="0" w:color="auto"/>
        <w:left w:val="none" w:sz="0" w:space="0" w:color="auto"/>
        <w:bottom w:val="none" w:sz="0" w:space="0" w:color="auto"/>
        <w:right w:val="none" w:sz="0" w:space="0" w:color="auto"/>
      </w:divBdr>
    </w:div>
    <w:div w:id="713850719">
      <w:bodyDiv w:val="1"/>
      <w:marLeft w:val="0"/>
      <w:marRight w:val="0"/>
      <w:marTop w:val="0"/>
      <w:marBottom w:val="0"/>
      <w:divBdr>
        <w:top w:val="none" w:sz="0" w:space="0" w:color="auto"/>
        <w:left w:val="none" w:sz="0" w:space="0" w:color="auto"/>
        <w:bottom w:val="none" w:sz="0" w:space="0" w:color="auto"/>
        <w:right w:val="none" w:sz="0" w:space="0" w:color="auto"/>
      </w:divBdr>
    </w:div>
    <w:div w:id="811871443">
      <w:bodyDiv w:val="1"/>
      <w:marLeft w:val="0"/>
      <w:marRight w:val="0"/>
      <w:marTop w:val="0"/>
      <w:marBottom w:val="0"/>
      <w:divBdr>
        <w:top w:val="none" w:sz="0" w:space="0" w:color="auto"/>
        <w:left w:val="none" w:sz="0" w:space="0" w:color="auto"/>
        <w:bottom w:val="none" w:sz="0" w:space="0" w:color="auto"/>
        <w:right w:val="none" w:sz="0" w:space="0" w:color="auto"/>
      </w:divBdr>
    </w:div>
    <w:div w:id="842010745">
      <w:bodyDiv w:val="1"/>
      <w:marLeft w:val="0"/>
      <w:marRight w:val="0"/>
      <w:marTop w:val="0"/>
      <w:marBottom w:val="0"/>
      <w:divBdr>
        <w:top w:val="none" w:sz="0" w:space="0" w:color="auto"/>
        <w:left w:val="none" w:sz="0" w:space="0" w:color="auto"/>
        <w:bottom w:val="none" w:sz="0" w:space="0" w:color="auto"/>
        <w:right w:val="none" w:sz="0" w:space="0" w:color="auto"/>
      </w:divBdr>
    </w:div>
    <w:div w:id="957952087">
      <w:bodyDiv w:val="1"/>
      <w:marLeft w:val="0"/>
      <w:marRight w:val="0"/>
      <w:marTop w:val="0"/>
      <w:marBottom w:val="0"/>
      <w:divBdr>
        <w:top w:val="none" w:sz="0" w:space="0" w:color="auto"/>
        <w:left w:val="none" w:sz="0" w:space="0" w:color="auto"/>
        <w:bottom w:val="none" w:sz="0" w:space="0" w:color="auto"/>
        <w:right w:val="none" w:sz="0" w:space="0" w:color="auto"/>
      </w:divBdr>
    </w:div>
    <w:div w:id="993676662">
      <w:bodyDiv w:val="1"/>
      <w:marLeft w:val="0"/>
      <w:marRight w:val="0"/>
      <w:marTop w:val="0"/>
      <w:marBottom w:val="0"/>
      <w:divBdr>
        <w:top w:val="none" w:sz="0" w:space="0" w:color="auto"/>
        <w:left w:val="none" w:sz="0" w:space="0" w:color="auto"/>
        <w:bottom w:val="none" w:sz="0" w:space="0" w:color="auto"/>
        <w:right w:val="none" w:sz="0" w:space="0" w:color="auto"/>
      </w:divBdr>
    </w:div>
    <w:div w:id="1048382776">
      <w:bodyDiv w:val="1"/>
      <w:marLeft w:val="0"/>
      <w:marRight w:val="0"/>
      <w:marTop w:val="0"/>
      <w:marBottom w:val="0"/>
      <w:divBdr>
        <w:top w:val="none" w:sz="0" w:space="0" w:color="auto"/>
        <w:left w:val="none" w:sz="0" w:space="0" w:color="auto"/>
        <w:bottom w:val="none" w:sz="0" w:space="0" w:color="auto"/>
        <w:right w:val="none" w:sz="0" w:space="0" w:color="auto"/>
      </w:divBdr>
    </w:div>
    <w:div w:id="1062945125">
      <w:bodyDiv w:val="1"/>
      <w:marLeft w:val="0"/>
      <w:marRight w:val="0"/>
      <w:marTop w:val="0"/>
      <w:marBottom w:val="0"/>
      <w:divBdr>
        <w:top w:val="none" w:sz="0" w:space="0" w:color="auto"/>
        <w:left w:val="none" w:sz="0" w:space="0" w:color="auto"/>
        <w:bottom w:val="none" w:sz="0" w:space="0" w:color="auto"/>
        <w:right w:val="none" w:sz="0" w:space="0" w:color="auto"/>
      </w:divBdr>
    </w:div>
    <w:div w:id="1137801093">
      <w:bodyDiv w:val="1"/>
      <w:marLeft w:val="0"/>
      <w:marRight w:val="0"/>
      <w:marTop w:val="0"/>
      <w:marBottom w:val="0"/>
      <w:divBdr>
        <w:top w:val="none" w:sz="0" w:space="0" w:color="auto"/>
        <w:left w:val="none" w:sz="0" w:space="0" w:color="auto"/>
        <w:bottom w:val="none" w:sz="0" w:space="0" w:color="auto"/>
        <w:right w:val="none" w:sz="0" w:space="0" w:color="auto"/>
      </w:divBdr>
    </w:div>
    <w:div w:id="1160733889">
      <w:bodyDiv w:val="1"/>
      <w:marLeft w:val="0"/>
      <w:marRight w:val="0"/>
      <w:marTop w:val="0"/>
      <w:marBottom w:val="0"/>
      <w:divBdr>
        <w:top w:val="none" w:sz="0" w:space="0" w:color="auto"/>
        <w:left w:val="none" w:sz="0" w:space="0" w:color="auto"/>
        <w:bottom w:val="none" w:sz="0" w:space="0" w:color="auto"/>
        <w:right w:val="none" w:sz="0" w:space="0" w:color="auto"/>
      </w:divBdr>
    </w:div>
    <w:div w:id="1169906971">
      <w:bodyDiv w:val="1"/>
      <w:marLeft w:val="0"/>
      <w:marRight w:val="0"/>
      <w:marTop w:val="0"/>
      <w:marBottom w:val="0"/>
      <w:divBdr>
        <w:top w:val="none" w:sz="0" w:space="0" w:color="auto"/>
        <w:left w:val="none" w:sz="0" w:space="0" w:color="auto"/>
        <w:bottom w:val="none" w:sz="0" w:space="0" w:color="auto"/>
        <w:right w:val="none" w:sz="0" w:space="0" w:color="auto"/>
      </w:divBdr>
    </w:div>
    <w:div w:id="1278877966">
      <w:bodyDiv w:val="1"/>
      <w:marLeft w:val="0"/>
      <w:marRight w:val="0"/>
      <w:marTop w:val="0"/>
      <w:marBottom w:val="0"/>
      <w:divBdr>
        <w:top w:val="none" w:sz="0" w:space="0" w:color="auto"/>
        <w:left w:val="none" w:sz="0" w:space="0" w:color="auto"/>
        <w:bottom w:val="none" w:sz="0" w:space="0" w:color="auto"/>
        <w:right w:val="none" w:sz="0" w:space="0" w:color="auto"/>
      </w:divBdr>
    </w:div>
    <w:div w:id="1336152005">
      <w:bodyDiv w:val="1"/>
      <w:marLeft w:val="0"/>
      <w:marRight w:val="0"/>
      <w:marTop w:val="0"/>
      <w:marBottom w:val="0"/>
      <w:divBdr>
        <w:top w:val="none" w:sz="0" w:space="0" w:color="auto"/>
        <w:left w:val="none" w:sz="0" w:space="0" w:color="auto"/>
        <w:bottom w:val="none" w:sz="0" w:space="0" w:color="auto"/>
        <w:right w:val="none" w:sz="0" w:space="0" w:color="auto"/>
      </w:divBdr>
    </w:div>
    <w:div w:id="1444570865">
      <w:bodyDiv w:val="1"/>
      <w:marLeft w:val="0"/>
      <w:marRight w:val="0"/>
      <w:marTop w:val="0"/>
      <w:marBottom w:val="0"/>
      <w:divBdr>
        <w:top w:val="none" w:sz="0" w:space="0" w:color="auto"/>
        <w:left w:val="none" w:sz="0" w:space="0" w:color="auto"/>
        <w:bottom w:val="none" w:sz="0" w:space="0" w:color="auto"/>
        <w:right w:val="none" w:sz="0" w:space="0" w:color="auto"/>
      </w:divBdr>
    </w:div>
    <w:div w:id="1610089699">
      <w:bodyDiv w:val="1"/>
      <w:marLeft w:val="0"/>
      <w:marRight w:val="0"/>
      <w:marTop w:val="0"/>
      <w:marBottom w:val="0"/>
      <w:divBdr>
        <w:top w:val="none" w:sz="0" w:space="0" w:color="auto"/>
        <w:left w:val="none" w:sz="0" w:space="0" w:color="auto"/>
        <w:bottom w:val="none" w:sz="0" w:space="0" w:color="auto"/>
        <w:right w:val="none" w:sz="0" w:space="0" w:color="auto"/>
      </w:divBdr>
    </w:div>
    <w:div w:id="1690330271">
      <w:bodyDiv w:val="1"/>
      <w:marLeft w:val="0"/>
      <w:marRight w:val="0"/>
      <w:marTop w:val="0"/>
      <w:marBottom w:val="0"/>
      <w:divBdr>
        <w:top w:val="none" w:sz="0" w:space="0" w:color="auto"/>
        <w:left w:val="none" w:sz="0" w:space="0" w:color="auto"/>
        <w:bottom w:val="none" w:sz="0" w:space="0" w:color="auto"/>
        <w:right w:val="none" w:sz="0" w:space="0" w:color="auto"/>
      </w:divBdr>
    </w:div>
    <w:div w:id="1745837373">
      <w:bodyDiv w:val="1"/>
      <w:marLeft w:val="0"/>
      <w:marRight w:val="0"/>
      <w:marTop w:val="0"/>
      <w:marBottom w:val="0"/>
      <w:divBdr>
        <w:top w:val="none" w:sz="0" w:space="0" w:color="auto"/>
        <w:left w:val="none" w:sz="0" w:space="0" w:color="auto"/>
        <w:bottom w:val="none" w:sz="0" w:space="0" w:color="auto"/>
        <w:right w:val="none" w:sz="0" w:space="0" w:color="auto"/>
      </w:divBdr>
    </w:div>
    <w:div w:id="1756047336">
      <w:bodyDiv w:val="1"/>
      <w:marLeft w:val="0"/>
      <w:marRight w:val="0"/>
      <w:marTop w:val="0"/>
      <w:marBottom w:val="0"/>
      <w:divBdr>
        <w:top w:val="none" w:sz="0" w:space="0" w:color="auto"/>
        <w:left w:val="none" w:sz="0" w:space="0" w:color="auto"/>
        <w:bottom w:val="none" w:sz="0" w:space="0" w:color="auto"/>
        <w:right w:val="none" w:sz="0" w:space="0" w:color="auto"/>
      </w:divBdr>
    </w:div>
    <w:div w:id="1841844150">
      <w:bodyDiv w:val="1"/>
      <w:marLeft w:val="0"/>
      <w:marRight w:val="0"/>
      <w:marTop w:val="0"/>
      <w:marBottom w:val="0"/>
      <w:divBdr>
        <w:top w:val="none" w:sz="0" w:space="0" w:color="auto"/>
        <w:left w:val="none" w:sz="0" w:space="0" w:color="auto"/>
        <w:bottom w:val="none" w:sz="0" w:space="0" w:color="auto"/>
        <w:right w:val="none" w:sz="0" w:space="0" w:color="auto"/>
      </w:divBdr>
    </w:div>
    <w:div w:id="1901598702">
      <w:bodyDiv w:val="1"/>
      <w:marLeft w:val="0"/>
      <w:marRight w:val="0"/>
      <w:marTop w:val="0"/>
      <w:marBottom w:val="0"/>
      <w:divBdr>
        <w:top w:val="none" w:sz="0" w:space="0" w:color="auto"/>
        <w:left w:val="none" w:sz="0" w:space="0" w:color="auto"/>
        <w:bottom w:val="none" w:sz="0" w:space="0" w:color="auto"/>
        <w:right w:val="none" w:sz="0" w:space="0" w:color="auto"/>
      </w:divBdr>
    </w:div>
    <w:div w:id="193724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741C8-92C4-4859-BF53-CA07F78F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4050</Words>
  <Characters>23611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Michelmersh Brick</Company>
  <LinksUpToDate>false</LinksUpToDate>
  <CharactersWithSpaces>27606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Walker</dc:creator>
  <cp:lastModifiedBy>Harry Pardoe</cp:lastModifiedBy>
  <cp:revision>3</cp:revision>
  <cp:lastPrinted>2015-03-18T17:38:00Z</cp:lastPrinted>
  <dcterms:created xsi:type="dcterms:W3CDTF">2015-03-20T17:57:00Z</dcterms:created>
  <dcterms:modified xsi:type="dcterms:W3CDTF">2015-03-20T18:00:00Z</dcterms:modified>
</cp:coreProperties>
</file>